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001-38860</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TRADEWEB MARKETS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83-2456358</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5"/>
        <w:gridCol w:w="1050"/>
        <w:gridCol w:w="1055"/>
        <w:gridCol w:w="109"/>
        <w:gridCol w:w="109"/>
        <w:gridCol w:w="109"/>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245 Park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10167</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(646) 430-6000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57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484"/>
        <w:gridCol w:w="484"/>
        <w:gridCol w:w="486"/>
        <w:gridCol w:w="109"/>
        <w:gridCol w:w="109"/>
        <w:gridCol w:w="109"/>
        <w:gridCol w:w="970"/>
        <w:gridCol w:w="970"/>
        <w:gridCol w:w="1374"/>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10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No</w:t>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No</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288" w:type="dxa"/>
        <w:jc w:val="left"/>
        <w:tblInd w:w="0" w:type="dxa"/>
        <w:tblLayout w:type="fixed"/>
        <w:tblCellMar>
          <w:top w:w="28" w:type="dxa"/>
          <w:left w:w="28" w:type="dxa"/>
          <w:bottom w:w="28" w:type="dxa"/>
          <w:right w:w="28" w:type="dxa"/>
        </w:tblCellMar>
      </w:tblPr>
      <w:tblGrid>
        <w:gridCol w:w="733"/>
        <w:gridCol w:w="644"/>
        <w:gridCol w:w="647"/>
        <w:gridCol w:w="109"/>
        <w:gridCol w:w="109"/>
        <w:gridCol w:w="109"/>
        <w:gridCol w:w="109"/>
        <w:gridCol w:w="109"/>
        <w:gridCol w:w="109"/>
        <w:gridCol w:w="674"/>
        <w:gridCol w:w="674"/>
        <w:gridCol w:w="677"/>
        <w:gridCol w:w="109"/>
        <w:gridCol w:w="109"/>
        <w:gridCol w:w="109"/>
        <w:gridCol w:w="109"/>
        <w:gridCol w:w="109"/>
        <w:gridCol w:w="109"/>
        <w:gridCol w:w="519"/>
        <w:gridCol w:w="519"/>
        <w:gridCol w:w="521"/>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No</w:t>
      </w:r>
    </w:p>
    <w:tbl>
      <w:tblPr>
        <w:tblW w:w="7075" w:type="dxa"/>
        <w:jc w:val="left"/>
        <w:tblInd w:w="0" w:type="dxa"/>
        <w:tblLayout w:type="fixed"/>
        <w:tblCellMar>
          <w:top w:w="28" w:type="dxa"/>
          <w:left w:w="28" w:type="dxa"/>
          <w:bottom w:w="28" w:type="dxa"/>
          <w:right w:w="28" w:type="dxa"/>
        </w:tblCellMar>
      </w:tblPr>
      <w:tblGrid>
        <w:gridCol w:w="1406"/>
        <w:gridCol w:w="1232"/>
        <w:gridCol w:w="1246"/>
        <w:gridCol w:w="109"/>
        <w:gridCol w:w="109"/>
        <w:gridCol w:w="109"/>
        <w:gridCol w:w="838"/>
        <w:gridCol w:w="838"/>
        <w:gridCol w:w="1188"/>
      </w:tblGrid>
      <w:tr>
        <w:trPr/>
        <w:tc>
          <w:tcPr>
            <w:tcW w:w="140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 Outstanding as of July 23, 2026</w:t>
            </w:r>
          </w:p>
        </w:tc>
      </w:tr>
      <w:tr>
        <w:trPr/>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114,038,202 </w:t>
            </w:r>
          </w:p>
        </w:tc>
        <w:tc>
          <w:tcPr>
            <w:tcW w:w="1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96,933,192 </w:t>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C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18,000,000 </w:t>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D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5,056,868 </w:t>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TRADEWEB MARKETS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 FOR THE QUARTERLY PERIOD ENDED JUNE 30,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99"/>
        <w:gridCol w:w="771"/>
        <w:gridCol w:w="771"/>
        <w:gridCol w:w="2506"/>
        <w:gridCol w:w="2310"/>
        <w:gridCol w:w="2334"/>
        <w:gridCol w:w="149"/>
        <w:gridCol w:w="149"/>
        <w:gridCol w:w="216"/>
      </w:tblGrid>
      <w:tr>
        <w:trPr/>
        <w:tc>
          <w:tcPr>
            <w:tcW w:w="99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0">
              <w:r>
                <w:rPr>
                  <w:rStyle w:val="InternetLink"/>
                  <w:rFonts w:ascii="Times New Roman;serif" w:hAnsi="Times New Roman;serif"/>
                  <w:b w:val="false"/>
                  <w:color w:val="3051F2"/>
                  <w:sz w:val="20"/>
                  <w:u w:val="single"/>
                </w:rPr>
                <w:t>INTRODUCTORY NOTE</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1a01a6712f254c13b5fc458d19e3331b_10">
              <w:r>
                <w:rPr>
                  <w:rStyle w:val="InternetLink"/>
                  <w:rFonts w:ascii="Times New Roman;serif" w:hAnsi="Times New Roman;serif"/>
                  <w:b w:val="false"/>
                  <w:strike w:val="false"/>
                  <w:dstrike w:val="false"/>
                  <w:color w:val="0000FF"/>
                  <w:sz w:val="20"/>
                  <w:u w:val="none"/>
                  <w:effect w:val="none"/>
                </w:rPr>
                <w:t>3</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3">
              <w:r>
                <w:rPr>
                  <w:rStyle w:val="InternetLink"/>
                  <w:rFonts w:ascii="Times New Roman;serif" w:hAnsi="Times New Roman;serif"/>
                  <w:b w:val="false"/>
                  <w:color w:val="3051F2"/>
                  <w:sz w:val="20"/>
                  <w:u w:val="single"/>
                </w:rPr>
                <w:t>USE OF NON-GAAP FINANCIAL MEASURES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3">
              <w:r>
                <w:rPr>
                  <w:rStyle w:val="InternetLink"/>
                  <w:rFonts w:ascii="Times New Roman;serif" w:hAnsi="Times New Roman;serif"/>
                  <w:b w:val="false"/>
                  <w:strike w:val="false"/>
                  <w:dstrike w:val="false"/>
                  <w:color w:val="0000FF"/>
                  <w:sz w:val="20"/>
                  <w:u w:val="none"/>
                  <w:effect w:val="none"/>
                </w:rPr>
                <w:t>4</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6">
              <w:r>
                <w:rPr>
                  <w:rStyle w:val="InternetLink"/>
                  <w:rFonts w:ascii="Times New Roman;serif" w:hAnsi="Times New Roman;serif"/>
                  <w:b w:val="false"/>
                  <w:color w:val="3051F2"/>
                  <w:sz w:val="20"/>
                  <w:u w:val="single"/>
                </w:rPr>
                <w:t>CAUTIONARY NOTE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6">
              <w:r>
                <w:rPr>
                  <w:rStyle w:val="InternetLink"/>
                  <w:rFonts w:ascii="Times New Roman;serif" w:hAnsi="Times New Roman;serif"/>
                  <w:b w:val="false"/>
                  <w:strike w:val="false"/>
                  <w:dstrike w:val="false"/>
                  <w:color w:val="0000FF"/>
                  <w:sz w:val="20"/>
                  <w:u w:val="none"/>
                  <w:effect w:val="none"/>
                </w:rPr>
                <w:t>6</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9">
              <w:r>
                <w:rPr>
                  <w:rStyle w:val="InternetLink"/>
                  <w:rFonts w:ascii="Times New Roman;serif" w:hAnsi="Times New Roman;serif"/>
                  <w:b w:val="false"/>
                  <w:color w:val="3051F2"/>
                  <w:sz w:val="20"/>
                  <w:u w:val="single"/>
                </w:rPr>
                <w:t>PART I — 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22">
              <w:r>
                <w:rPr>
                  <w:rStyle w:val="InternetLink"/>
                  <w:rFonts w:ascii="Times New Roman;serif" w:hAnsi="Times New Roman;serif"/>
                  <w:b w:val="false"/>
                  <w:color w:val="3051F2"/>
                  <w:sz w:val="20"/>
                  <w:u w:val="single"/>
                </w:rPr>
                <w:t>Item 1.</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22">
              <w:r>
                <w:rPr>
                  <w:rStyle w:val="InternetLink"/>
                  <w:rFonts w:ascii="Times New Roman;serif" w:hAnsi="Times New Roman;serif"/>
                  <w:b w:val="false"/>
                  <w:color w:val="3051F2"/>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22">
              <w:r>
                <w:rPr>
                  <w:rStyle w:val="InternetLink"/>
                  <w:rFonts w:ascii="Times New Roman;serif" w:hAnsi="Times New Roman;serif"/>
                  <w:b w:val="false"/>
                  <w:strike w:val="false"/>
                  <w:dstrike w:val="false"/>
                  <w:color w:val="0000FF"/>
                  <w:sz w:val="20"/>
                  <w:u w:val="none"/>
                  <w:effect w:val="none"/>
                </w:rPr>
                <w:t>8</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25">
              <w:r>
                <w:rPr>
                  <w:rStyle w:val="InternetLink"/>
                  <w:rFonts w:ascii="Times New Roman;serif" w:hAnsi="Times New Roman;serif"/>
                  <w:b w:val="false"/>
                  <w:color w:val="000080"/>
                  <w:sz w:val="20"/>
                  <w:u w:val="single"/>
                </w:rPr>
                <w:t xml:space="preserve">Condensed Consolidated Statements of Financial Condition as of </w:t>
              </w:r>
            </w:hyperlink>
            <w:r>
              <w:rPr>
                <w:rFonts w:ascii="Times New Roman;serif" w:hAnsi="Times New Roman;serif"/>
                <w:b w:val="false"/>
                <w:color w:val="3051F2"/>
                <w:sz w:val="20"/>
                <w:u w:val="single"/>
              </w:rPr>
              <w:t>June 30, 2026 and</w:t>
            </w:r>
            <w:hyperlink w:anchor="i1a01a6712f254c13b5fc458d19e3331b_25">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3051F2"/>
                <w:sz w:val="20"/>
                <w:u w:val="single"/>
              </w:rPr>
              <w:t>December 31, 2025</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25">
              <w:r>
                <w:rPr>
                  <w:rStyle w:val="InternetLink"/>
                  <w:rFonts w:ascii="Times New Roman;serif" w:hAnsi="Times New Roman;serif"/>
                  <w:b w:val="false"/>
                  <w:strike w:val="false"/>
                  <w:dstrike w:val="false"/>
                  <w:color w:val="0000FF"/>
                  <w:sz w:val="20"/>
                  <w:u w:val="none"/>
                  <w:effect w:val="none"/>
                </w:rPr>
                <w:t>8</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28">
              <w:r>
                <w:rPr>
                  <w:rStyle w:val="InternetLink"/>
                  <w:rFonts w:ascii="Times New Roman;serif" w:hAnsi="Times New Roman;serif"/>
                  <w:b w:val="false"/>
                  <w:color w:val="000080"/>
                  <w:sz w:val="20"/>
                  <w:u w:val="single"/>
                </w:rPr>
                <w:t>Condensed Consolidated Statements of Income for the</w:t>
              </w:r>
            </w:hyperlink>
            <w:r>
              <w:rPr>
                <w:rFonts w:ascii="Times New Roman;serif" w:hAnsi="Times New Roman;serif"/>
                <w:b w:val="false"/>
                <w:color w:val="3051F2"/>
                <w:sz w:val="20"/>
                <w:u w:val="single"/>
              </w:rPr>
              <w:t xml:space="preserve"> three and six months ended June 30, 2026</w:t>
            </w:r>
            <w:hyperlink w:anchor="i1a01a6712f254c13b5fc458d19e3331b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3051F2"/>
                <w:sz w:val="20"/>
                <w:u w:val="single"/>
              </w:rPr>
              <w:t>2025</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28">
              <w:r>
                <w:rPr>
                  <w:rStyle w:val="InternetLink"/>
                  <w:rFonts w:ascii="Times New Roman;serif" w:hAnsi="Times New Roman;serif"/>
                  <w:b w:val="false"/>
                  <w:strike w:val="false"/>
                  <w:dstrike w:val="false"/>
                  <w:color w:val="0000FF"/>
                  <w:sz w:val="20"/>
                  <w:u w:val="none"/>
                  <w:effect w:val="none"/>
                </w:rPr>
                <w:t>9</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31">
              <w:r>
                <w:rPr>
                  <w:rStyle w:val="InternetLink"/>
                  <w:rFonts w:ascii="Times New Roman;serif" w:hAnsi="Times New Roman;serif"/>
                  <w:b w:val="false"/>
                  <w:color w:val="000080"/>
                  <w:sz w:val="20"/>
                  <w:u w:val="single"/>
                </w:rPr>
                <w:t>Condensed Consolidated Statements of Comprehensive Income for the</w:t>
              </w:r>
            </w:hyperlink>
            <w:r>
              <w:rPr>
                <w:rFonts w:ascii="Times New Roman;serif" w:hAnsi="Times New Roman;serif"/>
                <w:b w:val="false"/>
                <w:color w:val="3051F2"/>
                <w:sz w:val="20"/>
                <w:u w:val="single"/>
              </w:rPr>
              <w:t xml:space="preserve"> three and six months ended June 30, 2026 and 2025</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31">
              <w:r>
                <w:rPr>
                  <w:rStyle w:val="InternetLink"/>
                  <w:rFonts w:ascii="Times New Roman;serif" w:hAnsi="Times New Roman;serif"/>
                  <w:b w:val="false"/>
                  <w:strike w:val="false"/>
                  <w:dstrike w:val="false"/>
                  <w:color w:val="0000FF"/>
                  <w:sz w:val="20"/>
                  <w:u w:val="none"/>
                  <w:effect w:val="none"/>
                </w:rPr>
                <w:t>10</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34">
              <w:r>
                <w:rPr>
                  <w:rStyle w:val="InternetLink"/>
                  <w:rFonts w:ascii="Times New Roman;serif" w:hAnsi="Times New Roman;serif"/>
                  <w:b w:val="false"/>
                  <w:color w:val="000080"/>
                  <w:sz w:val="20"/>
                  <w:u w:val="single"/>
                </w:rPr>
                <w:t xml:space="preserve">Condensed Consolidated Statements of Changes in Equity for the </w:t>
              </w:r>
            </w:hyperlink>
            <w:r>
              <w:rPr>
                <w:rFonts w:ascii="Times New Roman;serif" w:hAnsi="Times New Roman;serif"/>
                <w:b w:val="false"/>
                <w:color w:val="3051F2"/>
                <w:sz w:val="20"/>
                <w:u w:val="single"/>
              </w:rPr>
              <w:t>three and six months ended June 30, 2026 and 2025</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34">
              <w:r>
                <w:rPr>
                  <w:rStyle w:val="InternetLink"/>
                  <w:rFonts w:ascii="Times New Roman;serif" w:hAnsi="Times New Roman;serif"/>
                  <w:b w:val="false"/>
                  <w:strike w:val="false"/>
                  <w:dstrike w:val="false"/>
                  <w:color w:val="0000FF"/>
                  <w:sz w:val="20"/>
                  <w:u w:val="none"/>
                  <w:effect w:val="none"/>
                </w:rPr>
                <w:t>11</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37">
              <w:r>
                <w:rPr>
                  <w:rStyle w:val="InternetLink"/>
                  <w:rFonts w:ascii="Times New Roman;serif" w:hAnsi="Times New Roman;serif"/>
                  <w:b w:val="false"/>
                  <w:color w:val="000080"/>
                  <w:sz w:val="20"/>
                  <w:u w:val="single"/>
                </w:rPr>
                <w:t>Condensed Consolidated Statements of Cash Flows for the</w:t>
              </w:r>
            </w:hyperlink>
            <w:r>
              <w:rPr>
                <w:rFonts w:ascii="Times New Roman;serif" w:hAnsi="Times New Roman;serif"/>
                <w:b w:val="false"/>
                <w:color w:val="3051F2"/>
                <w:sz w:val="20"/>
                <w:u w:val="single"/>
              </w:rPr>
              <w:t xml:space="preserve"> six months ended June 30, 2026 and 2025</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37">
              <w:r>
                <w:rPr>
                  <w:rStyle w:val="InternetLink"/>
                  <w:rFonts w:ascii="Times New Roman;serif" w:hAnsi="Times New Roman;serif"/>
                  <w:b w:val="false"/>
                  <w:strike w:val="false"/>
                  <w:dstrike w:val="false"/>
                  <w:color w:val="0000FF"/>
                  <w:sz w:val="20"/>
                  <w:u w:val="none"/>
                  <w:effect w:val="none"/>
                </w:rPr>
                <w:t>13</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40">
              <w:r>
                <w:rPr>
                  <w:rStyle w:val="InternetLink"/>
                  <w:rFonts w:ascii="Times New Roman;serif" w:hAnsi="Times New Roman;serif"/>
                  <w:b w:val="false"/>
                  <w:color w:val="3051F2"/>
                  <w:sz w:val="20"/>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40">
              <w:r>
                <w:rPr>
                  <w:rStyle w:val="InternetLink"/>
                  <w:rFonts w:ascii="Times New Roman;serif" w:hAnsi="Times New Roman;serif"/>
                  <w:b w:val="false"/>
                  <w:strike w:val="false"/>
                  <w:dstrike w:val="false"/>
                  <w:color w:val="0000FF"/>
                  <w:sz w:val="20"/>
                  <w:u w:val="none"/>
                  <w:effect w:val="none"/>
                </w:rPr>
                <w:t>15</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06">
              <w:r>
                <w:rPr>
                  <w:rStyle w:val="InternetLink"/>
                  <w:rFonts w:ascii="Times New Roman;serif" w:hAnsi="Times New Roman;serif"/>
                  <w:b w:val="false"/>
                  <w:color w:val="3051F2"/>
                  <w:sz w:val="20"/>
                  <w:u w:val="single"/>
                </w:rPr>
                <w:t>Item 2.</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06">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06">
              <w:r>
                <w:rPr>
                  <w:rStyle w:val="InternetLink"/>
                  <w:rFonts w:ascii="Times New Roman;serif" w:hAnsi="Times New Roman;serif"/>
                  <w:b w:val="false"/>
                  <w:strike w:val="false"/>
                  <w:dstrike w:val="false"/>
                  <w:color w:val="0000FF"/>
                  <w:sz w:val="20"/>
                  <w:u w:val="none"/>
                  <w:effect w:val="none"/>
                </w:rPr>
                <w:t>48</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39">
              <w:r>
                <w:rPr>
                  <w:rStyle w:val="InternetLink"/>
                  <w:rFonts w:ascii="Times New Roman;serif" w:hAnsi="Times New Roman;serif"/>
                  <w:b w:val="false"/>
                  <w:color w:val="3051F2"/>
                  <w:sz w:val="20"/>
                  <w:u w:val="single"/>
                </w:rPr>
                <w:t>Item 3.</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39">
              <w:r>
                <w:rPr>
                  <w:rStyle w:val="InternetLink"/>
                  <w:rFonts w:ascii="Times New Roman;serif" w:hAnsi="Times New Roman;serif"/>
                  <w:b w:val="false"/>
                  <w:color w:val="3051F2"/>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39">
              <w:r>
                <w:rPr>
                  <w:rStyle w:val="InternetLink"/>
                  <w:rFonts w:ascii="Times New Roman;serif" w:hAnsi="Times New Roman;serif"/>
                  <w:b w:val="false"/>
                  <w:strike w:val="false"/>
                  <w:dstrike w:val="false"/>
                  <w:color w:val="0000FF"/>
                  <w:sz w:val="20"/>
                  <w:u w:val="none"/>
                  <w:effect w:val="none"/>
                </w:rPr>
                <w:t>80</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42">
              <w:r>
                <w:rPr>
                  <w:rStyle w:val="InternetLink"/>
                  <w:rFonts w:ascii="Times New Roman;serif" w:hAnsi="Times New Roman;serif"/>
                  <w:b w:val="false"/>
                  <w:color w:val="3051F2"/>
                  <w:sz w:val="20"/>
                  <w:u w:val="single"/>
                </w:rPr>
                <w:t>Item 4.</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42">
              <w:r>
                <w:rPr>
                  <w:rStyle w:val="InternetLink"/>
                  <w:rFonts w:ascii="Times New Roman;serif" w:hAnsi="Times New Roman;serif"/>
                  <w:b w:val="false"/>
                  <w:color w:val="3051F2"/>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42">
              <w:r>
                <w:rPr>
                  <w:rStyle w:val="InternetLink"/>
                  <w:rFonts w:ascii="Times New Roman;serif" w:hAnsi="Times New Roman;serif"/>
                  <w:b w:val="false"/>
                  <w:strike w:val="false"/>
                  <w:dstrike w:val="false"/>
                  <w:color w:val="0000FF"/>
                  <w:sz w:val="20"/>
                  <w:u w:val="none"/>
                  <w:effect w:val="none"/>
                </w:rPr>
                <w:t>82</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45">
              <w:r>
                <w:rPr>
                  <w:rStyle w:val="InternetLink"/>
                  <w:rFonts w:ascii="Times New Roman;serif" w:hAnsi="Times New Roman;serif"/>
                  <w:b w:val="false"/>
                  <w:color w:val="3051F2"/>
                  <w:sz w:val="20"/>
                  <w:u w:val="single"/>
                </w:rPr>
                <w:t>PART II —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48">
              <w:r>
                <w:rPr>
                  <w:rStyle w:val="InternetLink"/>
                  <w:rFonts w:ascii="Times New Roman;serif" w:hAnsi="Times New Roman;serif"/>
                  <w:b w:val="false"/>
                  <w:color w:val="3051F2"/>
                  <w:sz w:val="20"/>
                  <w:u w:val="single"/>
                </w:rPr>
                <w:t>Item 1.</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48">
              <w:r>
                <w:rPr>
                  <w:rStyle w:val="InternetLink"/>
                  <w:rFonts w:ascii="Times New Roman;serif" w:hAnsi="Times New Roman;serif"/>
                  <w:b w:val="false"/>
                  <w:color w:val="3051F2"/>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48">
              <w:r>
                <w:rPr>
                  <w:rStyle w:val="InternetLink"/>
                  <w:rFonts w:ascii="Times New Roman;serif" w:hAnsi="Times New Roman;serif"/>
                  <w:b w:val="false"/>
                  <w:strike w:val="false"/>
                  <w:dstrike w:val="false"/>
                  <w:color w:val="0000FF"/>
                  <w:sz w:val="20"/>
                  <w:u w:val="none"/>
                  <w:effect w:val="none"/>
                </w:rPr>
                <w:t>83</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51">
              <w:r>
                <w:rPr>
                  <w:rStyle w:val="InternetLink"/>
                  <w:rFonts w:ascii="Times New Roman;serif" w:hAnsi="Times New Roman;serif"/>
                  <w:b w:val="false"/>
                  <w:color w:val="3051F2"/>
                  <w:sz w:val="20"/>
                  <w:u w:val="single"/>
                </w:rPr>
                <w:t>Item 1A.</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51">
              <w:r>
                <w:rPr>
                  <w:rStyle w:val="InternetLink"/>
                  <w:rFonts w:ascii="Times New Roman;serif" w:hAnsi="Times New Roman;serif"/>
                  <w:b w:val="false"/>
                  <w:color w:val="3051F2"/>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51">
              <w:r>
                <w:rPr>
                  <w:rStyle w:val="InternetLink"/>
                  <w:rFonts w:ascii="Times New Roman;serif" w:hAnsi="Times New Roman;serif"/>
                  <w:b w:val="false"/>
                  <w:strike w:val="false"/>
                  <w:dstrike w:val="false"/>
                  <w:color w:val="0000FF"/>
                  <w:sz w:val="20"/>
                  <w:u w:val="none"/>
                  <w:effect w:val="none"/>
                </w:rPr>
                <w:t>83</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57">
              <w:r>
                <w:rPr>
                  <w:rStyle w:val="InternetLink"/>
                  <w:rFonts w:ascii="Times New Roman;serif" w:hAnsi="Times New Roman;serif"/>
                  <w:b w:val="false"/>
                  <w:color w:val="3051F2"/>
                  <w:sz w:val="20"/>
                  <w:u w:val="single"/>
                </w:rPr>
                <w:t>Item 2.</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57">
              <w:r>
                <w:rPr>
                  <w:rStyle w:val="InternetLink"/>
                  <w:rFonts w:ascii="Times New Roman;serif" w:hAnsi="Times New Roman;serif"/>
                  <w:b w:val="false"/>
                  <w:color w:val="3051F2"/>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57">
              <w:r>
                <w:rPr>
                  <w:rStyle w:val="InternetLink"/>
                  <w:rFonts w:ascii="Times New Roman;serif" w:hAnsi="Times New Roman;serif"/>
                  <w:b w:val="false"/>
                  <w:strike w:val="false"/>
                  <w:dstrike w:val="false"/>
                  <w:color w:val="0000FF"/>
                  <w:sz w:val="20"/>
                  <w:u w:val="none"/>
                  <w:effect w:val="none"/>
                </w:rPr>
                <w:t>83</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60">
              <w:r>
                <w:rPr>
                  <w:rStyle w:val="InternetLink"/>
                  <w:rFonts w:ascii="Times New Roman;serif" w:hAnsi="Times New Roman;serif"/>
                  <w:b w:val="false"/>
                  <w:color w:val="3051F2"/>
                  <w:sz w:val="20"/>
                  <w:u w:val="single"/>
                </w:rPr>
                <w:t>Item 3.</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60">
              <w:r>
                <w:rPr>
                  <w:rStyle w:val="InternetLink"/>
                  <w:rFonts w:ascii="Times New Roman;serif" w:hAnsi="Times New Roman;serif"/>
                  <w:b w:val="false"/>
                  <w:color w:val="3051F2"/>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60">
              <w:r>
                <w:rPr>
                  <w:rStyle w:val="InternetLink"/>
                  <w:rFonts w:ascii="Times New Roman;serif" w:hAnsi="Times New Roman;serif"/>
                  <w:b w:val="false"/>
                  <w:strike w:val="false"/>
                  <w:dstrike w:val="false"/>
                  <w:color w:val="0000FF"/>
                  <w:sz w:val="20"/>
                  <w:u w:val="none"/>
                  <w:effect w:val="none"/>
                </w:rPr>
                <w:t>83</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63">
              <w:r>
                <w:rPr>
                  <w:rStyle w:val="InternetLink"/>
                  <w:rFonts w:ascii="Times New Roman;serif" w:hAnsi="Times New Roman;serif"/>
                  <w:b w:val="false"/>
                  <w:color w:val="3051F2"/>
                  <w:sz w:val="20"/>
                  <w:u w:val="single"/>
                </w:rPr>
                <w:t>Item 4.</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63">
              <w:r>
                <w:rPr>
                  <w:rStyle w:val="InternetLink"/>
                  <w:rFonts w:ascii="Times New Roman;serif" w:hAnsi="Times New Roman;serif"/>
                  <w:b w:val="false"/>
                  <w:color w:val="3051F2"/>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63">
              <w:r>
                <w:rPr>
                  <w:rStyle w:val="InternetLink"/>
                  <w:rFonts w:ascii="Times New Roman;serif" w:hAnsi="Times New Roman;serif"/>
                  <w:b w:val="false"/>
                  <w:strike w:val="false"/>
                  <w:dstrike w:val="false"/>
                  <w:color w:val="0000FF"/>
                  <w:sz w:val="20"/>
                  <w:u w:val="none"/>
                  <w:effect w:val="none"/>
                </w:rPr>
                <w:t>84</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66">
              <w:r>
                <w:rPr>
                  <w:rStyle w:val="InternetLink"/>
                  <w:rFonts w:ascii="Times New Roman;serif" w:hAnsi="Times New Roman;serif"/>
                  <w:b w:val="false"/>
                  <w:color w:val="3051F2"/>
                  <w:sz w:val="20"/>
                  <w:u w:val="single"/>
                </w:rPr>
                <w:t>Item 5.</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66">
              <w:r>
                <w:rPr>
                  <w:rStyle w:val="InternetLink"/>
                  <w:rFonts w:ascii="Times New Roman;serif" w:hAnsi="Times New Roman;serif"/>
                  <w:b w:val="false"/>
                  <w:color w:val="3051F2"/>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66">
              <w:r>
                <w:rPr>
                  <w:rStyle w:val="InternetLink"/>
                  <w:rFonts w:ascii="Times New Roman;serif" w:hAnsi="Times New Roman;serif"/>
                  <w:b w:val="false"/>
                  <w:strike w:val="false"/>
                  <w:dstrike w:val="false"/>
                  <w:color w:val="0000FF"/>
                  <w:sz w:val="20"/>
                  <w:u w:val="none"/>
                  <w:effect w:val="none"/>
                </w:rPr>
                <w:t>84</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72">
              <w:r>
                <w:rPr>
                  <w:rStyle w:val="InternetLink"/>
                  <w:rFonts w:ascii="Times New Roman;serif" w:hAnsi="Times New Roman;serif"/>
                  <w:b w:val="false"/>
                  <w:color w:val="3051F2"/>
                  <w:sz w:val="20"/>
                  <w:u w:val="single"/>
                </w:rPr>
                <w:t>Item 6.</w:t>
              </w:r>
            </w:hyperlink>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72">
              <w:r>
                <w:rPr>
                  <w:rStyle w:val="InternetLink"/>
                  <w:rFonts w:ascii="Times New Roman;serif" w:hAnsi="Times New Roman;serif"/>
                  <w:b w:val="false"/>
                  <w:color w:val="3051F2"/>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72">
              <w:r>
                <w:rPr>
                  <w:rStyle w:val="InternetLink"/>
                  <w:rFonts w:ascii="Times New Roman;serif" w:hAnsi="Times New Roman;serif"/>
                  <w:b w:val="false"/>
                  <w:strike w:val="false"/>
                  <w:dstrike w:val="false"/>
                  <w:color w:val="0000FF"/>
                  <w:sz w:val="20"/>
                  <w:u w:val="none"/>
                  <w:effect w:val="none"/>
                </w:rPr>
                <w:t>85</w:t>
              </w:r>
            </w:hyperlink>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175">
              <w:r>
                <w:rPr>
                  <w:rStyle w:val="InternetLink"/>
                  <w:rFonts w:ascii="Times New Roman;serif" w:hAnsi="Times New Roman;serif"/>
                  <w:b w:val="false"/>
                  <w:color w:val="3051F2"/>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01a6712f254c13b5fc458d19e3331b_175">
              <w:r>
                <w:rPr>
                  <w:rStyle w:val="InternetLink"/>
                  <w:rFonts w:ascii="Times New Roman;serif" w:hAnsi="Times New Roman;serif"/>
                  <w:b w:val="false"/>
                  <w:strike w:val="false"/>
                  <w:dstrike w:val="false"/>
                  <w:color w:val="0000FF"/>
                  <w:sz w:val="20"/>
                  <w:u w:val="none"/>
                  <w:effect w:val="none"/>
                </w:rPr>
                <w:t>86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INTRODUCTORY NOTE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otherwise requires, references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pStyle w:val="TextBody"/>
        <w:bidi w:val="0"/>
        <w:spacing w:lineRule="auto" w:line="288" w:before="200" w:after="283"/>
        <w:ind w:left="0" w:right="0" w:hanging="360"/>
        <w:jc w:val="left"/>
        <w:rPr/>
      </w:pPr>
      <w:r>
        <w:rPr>
          <w:color w:val="000000"/>
          <w:shd w:fill="FFFFFF" w:val="clear"/>
        </w:rPr>
        <w:t>•</w:t>
      </w:r>
      <w:r>
        <w:rPr>
          <w:color w:val="000000"/>
        </w:rPr>
        <w:t>“</w:t>
      </w:r>
      <w:r>
        <w:rPr>
          <w:rFonts w:ascii="Times New Roman;serif" w:hAnsi="Times New Roman;serif"/>
          <w:b w:val="false"/>
          <w:color w:val="000000"/>
          <w:sz w:val="20"/>
        </w:rPr>
        <w:t>Bank Stockholders</w:t>
      </w:r>
      <w:r>
        <w:rPr>
          <w:color w:val="000000"/>
          <w:shd w:fill="FFFFFF" w:val="clear"/>
        </w:rPr>
        <w:t xml:space="preserve">” </w:t>
      </w:r>
      <w:r>
        <w:rPr>
          <w:rFonts w:ascii="Times New Roman;serif" w:hAnsi="Times New Roman;serif"/>
          <w:b w:val="false"/>
          <w:color w:val="000000"/>
          <w:sz w:val="20"/>
          <w:shd w:fill="FFFFFF" w:val="clear"/>
        </w:rPr>
        <w:t>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LLC Interests” refer to the single class of common mem</w:t>
      </w:r>
      <w:r>
        <w:rPr>
          <w:rFonts w:ascii="Times New Roman;serif" w:hAnsi="Times New Roman;serif"/>
          <w:b w:val="false"/>
          <w:color w:val="000000"/>
          <w:sz w:val="20"/>
        </w:rPr>
        <w:t xml:space="preserve">bership interests of TWM LLC. LLC Interests, other than those held directly or indirectly by Tradeweb Markets Inc., are redeemable or exchangeable in accordance with the TWM LLC Agreement for </w:t>
      </w:r>
      <w:r>
        <w:rPr>
          <w:rFonts w:ascii="Times New Roman;serif" w:hAnsi="Times New Roman;serif"/>
          <w:b w:val="false"/>
          <w:color w:val="000000"/>
          <w:sz w:val="20"/>
          <w:shd w:fill="FFFFFF" w:val="clear"/>
        </w:rPr>
        <w:t>shares of Class A common stock or Class B common stock, as the case may be, on a one-for-one basis.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pStyle w:val="TextBody"/>
        <w:bidi w:val="0"/>
        <w:spacing w:lineRule="auto" w:line="288" w:before="200" w:after="283"/>
        <w:ind w:left="0" w:right="0" w:hanging="360"/>
        <w:jc w:val="left"/>
        <w:rPr/>
      </w:pPr>
      <w:r>
        <w:rPr>
          <w:color w:val="000000"/>
          <w:shd w:fill="FFFFFF" w:val="clear"/>
        </w:rPr>
        <w:t>•</w:t>
      </w:r>
      <w:r>
        <w:rPr>
          <w:color w:val="000000"/>
        </w:rPr>
        <w:t>“</w:t>
      </w:r>
      <w:r>
        <w:rPr>
          <w:rFonts w:ascii="Times New Roman;serif" w:hAnsi="Times New Roman;serif"/>
          <w:b w:val="false"/>
          <w:color w:val="000000"/>
          <w:sz w:val="20"/>
        </w:rPr>
        <w:t>LSEG” refer to London Stock Exchange Group plc, and unless otherwise stated or the context otherwise requires, all of its direct and indirect subsidiaries, including Refinitiv.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Original LLC Owners” refer to the owners of TWM LLC prior to the Reorganization Transactions.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Thomson Reuters” or “TR” refer to Thomson Reuters Corporation, which prior to the LSEG Transaction indirectly held a 45% ownership interest in Refinitiv.</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231F20"/>
          <w:sz w:val="20"/>
        </w:rPr>
      </w:pPr>
      <w:r>
        <w:rPr>
          <w:rFonts w:ascii="Times New Roman;serif" w:hAnsi="Times New Roman;serif"/>
          <w:b/>
          <w:color w:val="231F20"/>
          <w:sz w:val="20"/>
        </w:rPr>
        <w:t>USE OF NON-GAAP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“non-GAAP financial measures,” which are financial measures that are not calculated and presented in accordance with accounting principles generally accepted in the United States of America (“GAAP”).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presentation with equal or greater prominence of the most comparable financial measure or measures calculated and presented in accordance with GAAP;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statement disclosing the purposes for which the registrant’s management uses the non-GAAP financial measure.</w:t>
      </w:r>
    </w:p>
    <w:p>
      <w:pPr>
        <w:pStyle w:val="TextBody"/>
        <w:bidi w:val="0"/>
        <w:spacing w:lineRule="auto" w:line="288" w:before="200" w:after="283"/>
        <w:jc w:val="left"/>
        <w:rPr/>
      </w:pPr>
      <w:r>
        <w:rPr>
          <w:rFonts w:ascii="Times New Roman;serif" w:hAnsi="Times New Roman;serif"/>
          <w:b w:val="false"/>
          <w:color w:val="000000"/>
          <w:sz w:val="20"/>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 – “Management’s Discussion and Analysis of Financial Condition and Results of Operations—Non</w:t>
      </w:r>
      <w:r>
        <w:rPr>
          <w:rFonts w:ascii="Times New Roman;serif" w:hAnsi="Times New Roman;serif"/>
          <w:b/>
          <w:color w:val="000000"/>
          <w:sz w:val="20"/>
        </w:rPr>
        <w:t>-</w:t>
      </w:r>
      <w:r>
        <w:rPr>
          <w:rFonts w:ascii="Times New Roman;serif" w:hAnsi="Times New Roman;serif"/>
          <w:b w:val="false"/>
          <w:color w:val="000000"/>
          <w:sz w:val="20"/>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constant currency measures as supplemental metrics to evaluate our underlying performance between periods by removing the impact of foreign currency fluctuations. We believe that providing certain percentage changes on a constant currency basis provides useful comparisons of our performance and trends between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Adjusted Net Income and Adjusted Diluted EPS as supplemental metrics to evaluate our business performance in a way that also considers our ability to generate profit without the impact of certain items. Each of the adjustments described in the definition of Adjusted Net Income helps to provide management with a measure of our operating performance over time by removing items that are not related to day-to-day operations or are non-cash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Free Cash Flow, Adjusted EBITDA, Adjusted EBIT, Adjusted Net Income and Adjusted Diluted EPS do not reflect every expenditure, future requirements for capital expenditures or contractual commitments;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Adjusted EBIT, Adjusted Net Income and Adjusted Diluted EPS do not reflect changes in our working capital needs;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and Adjusted EBIT do not reflect any interest income or expense, or the amounts necessary to service interest or principal payments on any debt obligations;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and Adjusted EBIT do not reflect income tax expense, which is a necessary element of our costs and ability to operate;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Adjusted EBIT, Adjusted Net Income and Adjusted Diluted EPS do not reflect the non-cash component of certain employee stock-based compensation expense and associated payroll taxes;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Adjusted EBITDA, Adjusted EBIT, Adjusted Net Income and Adjusted Diluted EPS do not reflect the impact of earnings or charges resulting from matters we consider not to be indicative, on a recurring basis, of our ongoing operations;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constant currency measures do not reflect the impact of foreign currency fluctuations;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compensate for these limitations by relying primarily on our GAAP results and using Free Cash Flow, Adjusted EBITDA, Adjusted EBIT, Adjusted Net Income, Adjusted Diluted EPS and constant currency measures only as supplemental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acquisitions, investments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Some of the factors that could cause actual results to differ materially from those expressed or implied by the forward-looking statements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changes in economic, political, social and market conditions and the impact of these changes on trading volumes;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failure to compete successfully;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failure to adapt our business effectively to keep pace with industry and technological changes;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consolidation and concentration in the financial services industry;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dependence on dealer clients;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design defects, errors, failures or delays with our platform or solutions;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dependence on third parties for certain market data and certain key functions;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implement our business strategies profitably;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successfully integrate any acquisition or to realize benefits from any strategic alliances, partnerships, joint ventures or investments;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risks related to cryptocurrency and other digital assets;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inability to maintain and grow the capacity of our trading platform, systems and infrastructure;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systems failures, interruptions, delays in services, cybersecurity incidents, catastrophic events and any resulting interruptions;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inadequate protection of our intellectual property;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extensive regulation of our industry;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retain the services of our senior management team;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dependence on distributions from TWM LLC to fund our expected dividend payments and to pay our taxes and expenses, including payments under the tax receivable agreement (the “Tax Receivable Agreement”) entered into in connection with the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realize any benefit from our organizational structure;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LSEG’s control of us and our status as a controlled company;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risks and uncertainties, including those listed under Part I, Item 1A. “Risk Factors” of our Annual Report on Form 10-K for the year ended December 31, 2025 (the “2025 Form 10-K”), filed with the SEC and in other filings we may make from time to time with the SEC.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Tradeweb Markets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Financial Condition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96"/>
        <w:gridCol w:w="2211"/>
        <w:gridCol w:w="2245"/>
        <w:gridCol w:w="109"/>
        <w:gridCol w:w="109"/>
        <w:gridCol w:w="109"/>
        <w:gridCol w:w="196"/>
        <w:gridCol w:w="871"/>
        <w:gridCol w:w="109"/>
        <w:gridCol w:w="109"/>
        <w:gridCol w:w="109"/>
        <w:gridCol w:w="109"/>
        <w:gridCol w:w="196"/>
        <w:gridCol w:w="871"/>
        <w:gridCol w:w="156"/>
      </w:tblGrid>
      <w:tr>
        <w:trPr/>
        <w:tc>
          <w:tcPr>
            <w:tcW w:w="269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from brokers and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$209 and $587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Furniture, equipment, purchased software and leasehold improvements, net of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development costs, net of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and 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and other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8,250,843 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8,189,557 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 to brokers and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 and 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1,000,320 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Commitments and contingencies</w:t>
            </w:r>
            <w:r>
              <w:rPr>
                <w:color w:val="000000"/>
              </w:rPr>
              <w:t xml:space="preserve"> </w:t>
            </w:r>
            <w:r>
              <w:rPr>
                <w:rFonts w:ascii="Times New Roman;serif" w:hAnsi="Times New Roman;serif"/>
                <w:b w:val="false"/>
                <w:color w:val="000000"/>
                <w:sz w:val="16"/>
              </w:rPr>
              <w:t>(Note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$0.00001 par value; 250,000,000 shares authorized; none issued or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$0.00001 par value; 1,000,000,000 shares authorized; 114,140,240 and 115,502,689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$0.00001 par value; 450,000,000 shares authorized; 96,933,192 and 96,933,192 shares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C common stock, $0.00001 par value; 350,000,000 shares authorized; 18,000,000 and 18,000,000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D common stock, $0.00001 par value; 300,000,000 shares authorized; 5,056,868 and 5,056,868 shares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 attributable to Tradeweb Markets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6,507,755 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7,338,154 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7,189,237 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8,250,843 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8,189,557 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Tradeweb Markets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27" w:type="dxa"/>
        <w:jc w:val="left"/>
        <w:tblInd w:w="0" w:type="dxa"/>
        <w:tblLayout w:type="fixed"/>
        <w:tblCellMar>
          <w:top w:w="28" w:type="dxa"/>
          <w:left w:w="28" w:type="dxa"/>
          <w:bottom w:w="28" w:type="dxa"/>
          <w:right w:w="28" w:type="dxa"/>
        </w:tblCellMar>
      </w:tblPr>
      <w:tblGrid>
        <w:gridCol w:w="1461"/>
        <w:gridCol w:w="1285"/>
        <w:gridCol w:w="1304"/>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fees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Subscription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LSEG market data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558,946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512,971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1,176,710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1,022,648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245,262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199,853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532,515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403,954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227,061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573,110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448,645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206,686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175,522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439,853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343,827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Tradeweb Markets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181,318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153,782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386,602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302,164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7"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share attributable to Tradeweb Markets Inc. Class A and B common stockholders:</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212,463,597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213,339,761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212,573,754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213,214,326</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212,795,141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214,971,946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213,059,281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214,934,378</w:t>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Tradeweb Markets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60"/>
        <w:gridCol w:w="1459"/>
        <w:gridCol w:w="1467"/>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76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343,827 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 with no tax benefit for each of the three and six months ended June 30,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debt security, net of tax expense of $3,004, $741, $3,268 and $799 for the three and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Other 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Tradeweb Markets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Tradeweb Markets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478" w:type="dxa"/>
        <w:jc w:val="left"/>
        <w:tblInd w:w="0" w:type="dxa"/>
        <w:tblLayout w:type="fixed"/>
        <w:tblCellMar>
          <w:top w:w="28" w:type="dxa"/>
          <w:left w:w="28" w:type="dxa"/>
          <w:bottom w:w="28" w:type="dxa"/>
          <w:right w:w="28" w:type="dxa"/>
        </w:tblCellMar>
      </w:tblPr>
      <w:tblGrid>
        <w:gridCol w:w="689"/>
        <w:gridCol w:w="263"/>
        <w:gridCol w:w="264"/>
        <w:gridCol w:w="109"/>
        <w:gridCol w:w="109"/>
        <w:gridCol w:w="109"/>
        <w:gridCol w:w="226"/>
        <w:gridCol w:w="278"/>
        <w:gridCol w:w="127"/>
        <w:gridCol w:w="109"/>
        <w:gridCol w:w="109"/>
        <w:gridCol w:w="109"/>
        <w:gridCol w:w="226"/>
        <w:gridCol w:w="278"/>
        <w:gridCol w:w="127"/>
        <w:gridCol w:w="109"/>
        <w:gridCol w:w="109"/>
        <w:gridCol w:w="109"/>
        <w:gridCol w:w="196"/>
        <w:gridCol w:w="406"/>
        <w:gridCol w:w="109"/>
        <w:gridCol w:w="109"/>
        <w:gridCol w:w="109"/>
        <w:gridCol w:w="109"/>
        <w:gridCol w:w="196"/>
        <w:gridCol w:w="406"/>
        <w:gridCol w:w="109"/>
        <w:gridCol w:w="109"/>
        <w:gridCol w:w="109"/>
        <w:gridCol w:w="109"/>
        <w:gridCol w:w="196"/>
        <w:gridCol w:w="871"/>
        <w:gridCol w:w="109"/>
        <w:gridCol w:w="109"/>
        <w:gridCol w:w="109"/>
        <w:gridCol w:w="109"/>
        <w:gridCol w:w="210"/>
        <w:gridCol w:w="693"/>
        <w:gridCol w:w="118"/>
        <w:gridCol w:w="109"/>
        <w:gridCol w:w="109"/>
        <w:gridCol w:w="109"/>
        <w:gridCol w:w="196"/>
        <w:gridCol w:w="871"/>
        <w:gridCol w:w="109"/>
        <w:gridCol w:w="109"/>
        <w:gridCol w:w="109"/>
        <w:gridCol w:w="109"/>
        <w:gridCol w:w="196"/>
        <w:gridCol w:w="736"/>
        <w:gridCol w:w="109"/>
        <w:gridCol w:w="109"/>
        <w:gridCol w:w="109"/>
        <w:gridCol w:w="109"/>
        <w:gridCol w:w="196"/>
        <w:gridCol w:w="871"/>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Tradeweb Markets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C</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D</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7,189,237 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 pursuant to share repurchase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 liability and deferred taxes arising from LLC Interest ownership exchanges and the issuance of common stock from 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($0.14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Payroll taxes paid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4,886,485 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7,309,638 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 pursuant to share repurchase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(190,317)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 liability and deferred taxes arising from LLC Interest ownership exchanges and the issuance of common stock from 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Dividends ($0.14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Payroll taxes paid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7,338,154 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4"/>
        </w:rPr>
      </w:pPr>
      <w:r>
        <w:rPr>
          <w:rFonts w:ascii="Times New Roman;serif" w:hAnsi="Times New Roman;serif"/>
          <w:b w:val="false"/>
          <w:color w:val="000000"/>
          <w:sz w:val="14"/>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Tradeweb Markets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Changes in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587" w:type="dxa"/>
        <w:jc w:val="center"/>
        <w:tblInd w:w="0" w:type="dxa"/>
        <w:tblLayout w:type="fixed"/>
        <w:tblCellMar>
          <w:top w:w="28" w:type="dxa"/>
          <w:left w:w="28" w:type="dxa"/>
          <w:bottom w:w="28" w:type="dxa"/>
          <w:right w:w="28" w:type="dxa"/>
        </w:tblCellMar>
      </w:tblPr>
      <w:tblGrid>
        <w:gridCol w:w="689"/>
        <w:gridCol w:w="263"/>
        <w:gridCol w:w="264"/>
        <w:gridCol w:w="109"/>
        <w:gridCol w:w="109"/>
        <w:gridCol w:w="109"/>
        <w:gridCol w:w="109"/>
        <w:gridCol w:w="226"/>
        <w:gridCol w:w="278"/>
        <w:gridCol w:w="127"/>
        <w:gridCol w:w="109"/>
        <w:gridCol w:w="109"/>
        <w:gridCol w:w="109"/>
        <w:gridCol w:w="226"/>
        <w:gridCol w:w="278"/>
        <w:gridCol w:w="127"/>
        <w:gridCol w:w="109"/>
        <w:gridCol w:w="109"/>
        <w:gridCol w:w="109"/>
        <w:gridCol w:w="196"/>
        <w:gridCol w:w="406"/>
        <w:gridCol w:w="109"/>
        <w:gridCol w:w="109"/>
        <w:gridCol w:w="109"/>
        <w:gridCol w:w="109"/>
        <w:gridCol w:w="196"/>
        <w:gridCol w:w="406"/>
        <w:gridCol w:w="109"/>
        <w:gridCol w:w="109"/>
        <w:gridCol w:w="109"/>
        <w:gridCol w:w="109"/>
        <w:gridCol w:w="196"/>
        <w:gridCol w:w="871"/>
        <w:gridCol w:w="109"/>
        <w:gridCol w:w="109"/>
        <w:gridCol w:w="109"/>
        <w:gridCol w:w="109"/>
        <w:gridCol w:w="228"/>
        <w:gridCol w:w="665"/>
        <w:gridCol w:w="128"/>
        <w:gridCol w:w="109"/>
        <w:gridCol w:w="109"/>
        <w:gridCol w:w="109"/>
        <w:gridCol w:w="196"/>
        <w:gridCol w:w="871"/>
        <w:gridCol w:w="109"/>
        <w:gridCol w:w="109"/>
        <w:gridCol w:w="109"/>
        <w:gridCol w:w="109"/>
        <w:gridCol w:w="196"/>
        <w:gridCol w:w="736"/>
        <w:gridCol w:w="109"/>
        <w:gridCol w:w="109"/>
        <w:gridCol w:w="109"/>
        <w:gridCol w:w="109"/>
        <w:gridCol w:w="196"/>
        <w:gridCol w:w="871"/>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Tradeweb Markets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C</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D</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6,398,885 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 liability and deferred taxes arising from LLC Interest ownership exchanges and the issuance of common stock from equity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($0.12 per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Payroll taxes paid for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Tax receivable agreement liability and deferred taxes arising from LLC Interest ownership exchanges and the issuance of common stock from equity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($0.12 per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Payroll taxes paid for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4,842,990 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1,247,748 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6,726,276 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4"/>
        </w:rPr>
      </w:pPr>
      <w:r>
        <w:rPr>
          <w:rFonts w:ascii="Times New Roman;serif" w:hAnsi="Times New Roman;serif"/>
          <w:b w:val="false"/>
          <w:color w:val="000000"/>
          <w:sz w:val="14"/>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Tradeweb Markets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26" w:type="dxa"/>
        <w:jc w:val="left"/>
        <w:tblInd w:w="0" w:type="dxa"/>
        <w:tblLayout w:type="fixed"/>
        <w:tblCellMar>
          <w:top w:w="28" w:type="dxa"/>
          <w:left w:w="28" w:type="dxa"/>
          <w:bottom w:w="28" w:type="dxa"/>
          <w:right w:w="28" w:type="dxa"/>
        </w:tblCellMar>
      </w:tblPr>
      <w:tblGrid>
        <w:gridCol w:w="2308"/>
        <w:gridCol w:w="2030"/>
        <w:gridCol w:w="2037"/>
        <w:gridCol w:w="109"/>
        <w:gridCol w:w="109"/>
        <w:gridCol w:w="109"/>
        <w:gridCol w:w="196"/>
        <w:gridCol w:w="871"/>
        <w:gridCol w:w="109"/>
        <w:gridCol w:w="109"/>
        <w:gridCol w:w="109"/>
        <w:gridCol w:w="109"/>
        <w:gridCol w:w="196"/>
        <w:gridCol w:w="871"/>
        <w:gridCol w:w="154"/>
      </w:tblGrid>
      <w:tr>
        <w:trPr/>
        <w:tc>
          <w:tcPr>
            <w:tcW w:w="230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received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operating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from/payable to brokers and dealers and clearing organizations,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and due from related parties/payable and due to related parties,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 as a result of transferable tax credit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operating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furniture, equipment, software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 pursuant to share repurchase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stock-based compensation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Payroll taxes paid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tax receivable agreement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1,631,121 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140" w:after="283"/>
        <w:jc w:val="center"/>
        <w:rPr/>
      </w:pPr>
      <w:r>
        <w:rPr/>
      </w:r>
    </w:p>
    <w:p>
      <w:pPr>
        <w:pStyle w:val="TextBody"/>
        <w:bidi w:val="0"/>
        <w:spacing w:before="140" w:after="283"/>
        <w:jc w:val="center"/>
        <w:rPr/>
      </w:pPr>
      <w:r>
        <w:rPr/>
      </w:r>
    </w:p>
    <w:p>
      <w:pPr>
        <w:pStyle w:val="TextBody"/>
        <w:bidi w:val="0"/>
        <w:spacing w:before="140" w:after="283"/>
        <w:jc w:val="center"/>
        <w:rPr/>
      </w:pPr>
      <w:r>
        <w:rPr/>
      </w:r>
    </w:p>
    <w:p>
      <w:pPr>
        <w:pStyle w:val="TextBody"/>
        <w:bidi w:val="0"/>
        <w:spacing w:before="1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Tradeweb Markets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1260"/>
        <w:jc w:val="center"/>
        <w:rPr/>
      </w:pPr>
      <w:r>
        <w:rPr/>
      </w:r>
    </w:p>
    <w:tbl>
      <w:tblPr>
        <w:tblW w:w="10026" w:type="dxa"/>
        <w:jc w:val="center"/>
        <w:tblInd w:w="0" w:type="dxa"/>
        <w:tblLayout w:type="fixed"/>
        <w:tblCellMar>
          <w:top w:w="28" w:type="dxa"/>
          <w:left w:w="28" w:type="dxa"/>
          <w:bottom w:w="28" w:type="dxa"/>
          <w:right w:w="28" w:type="dxa"/>
        </w:tblCellMar>
      </w:tblPr>
      <w:tblGrid>
        <w:gridCol w:w="2521"/>
        <w:gridCol w:w="2217"/>
        <w:gridCol w:w="2222"/>
        <w:gridCol w:w="109"/>
        <w:gridCol w:w="109"/>
        <w:gridCol w:w="109"/>
        <w:gridCol w:w="196"/>
        <w:gridCol w:w="871"/>
        <w:gridCol w:w="109"/>
        <w:gridCol w:w="109"/>
        <w:gridCol w:w="109"/>
        <w:gridCol w:w="109"/>
        <w:gridCol w:w="211"/>
        <w:gridCol w:w="871"/>
        <w:gridCol w:w="154"/>
      </w:tblGrid>
      <w:tr>
        <w:trPr/>
        <w:tc>
          <w:tcPr>
            <w:tcW w:w="252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 received upon conversion of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Furniture, equipment, software and leasehold improvement additions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Unsettled share repurchases and excise tax included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Items arising from LLC Interest ownership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Establishment of liabilities under 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2,084,739 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tbl>
      <w:tblPr>
        <w:tblW w:w="6226" w:type="dxa"/>
        <w:jc w:val="left"/>
        <w:tblInd w:w="0" w:type="dxa"/>
        <w:tblLayout w:type="fixed"/>
        <w:tblCellMar>
          <w:top w:w="28" w:type="dxa"/>
          <w:left w:w="28" w:type="dxa"/>
          <w:bottom w:w="28" w:type="dxa"/>
          <w:right w:w="28" w:type="dxa"/>
        </w:tblCellMar>
      </w:tblPr>
      <w:tblGrid>
        <w:gridCol w:w="277"/>
        <w:gridCol w:w="242"/>
        <w:gridCol w:w="246"/>
        <w:gridCol w:w="1649"/>
        <w:gridCol w:w="1649"/>
        <w:gridCol w:w="1652"/>
        <w:gridCol w:w="149"/>
        <w:gridCol w:w="149"/>
        <w:gridCol w:w="213"/>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43">
              <w:r>
                <w:rPr>
                  <w:rStyle w:val="InternetLink"/>
                  <w:rFonts w:ascii="Times New Roman;serif" w:hAnsi="Times New Roman;serif"/>
                  <w:b w:val="false"/>
                  <w:color w:val="3051F2"/>
                  <w:sz w:val="20"/>
                  <w:u w:val="single"/>
                </w:rPr>
                <w:t>Note 1</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43">
              <w:r>
                <w:rPr>
                  <w:rStyle w:val="InternetLink"/>
                  <w:rFonts w:ascii="Times New Roman;serif" w:hAnsi="Times New Roman;serif"/>
                  <w:b w:val="false"/>
                  <w:color w:val="3051F2"/>
                  <w:sz w:val="20"/>
                  <w:u w:val="single"/>
                </w:rPr>
                <w:t>Organization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1a01a6712f254c13b5fc458d19e3331b_43">
              <w:r>
                <w:rPr>
                  <w:rStyle w:val="InternetLink"/>
                  <w:rFonts w:ascii="Times New Roman;serif" w:hAnsi="Times New Roman;serif"/>
                  <w:b w:val="false"/>
                  <w:strike w:val="false"/>
                  <w:dstrike w:val="false"/>
                  <w:color w:val="3051F2"/>
                  <w:sz w:val="20"/>
                  <w:u w:val="none"/>
                  <w:effect w:val="none"/>
                </w:rPr>
                <w:t>16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46">
              <w:r>
                <w:rPr>
                  <w:rStyle w:val="InternetLink"/>
                  <w:rFonts w:ascii="Times New Roman;serif" w:hAnsi="Times New Roman;serif"/>
                  <w:b w:val="false"/>
                  <w:color w:val="3051F2"/>
                  <w:sz w:val="20"/>
                  <w:u w:val="single"/>
                </w:rPr>
                <w:t>Note 2</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46">
              <w:r>
                <w:rPr>
                  <w:rStyle w:val="InternetLink"/>
                  <w:rFonts w:ascii="Times New Roman;serif" w:hAnsi="Times New Roman;serif"/>
                  <w:b w:val="false"/>
                  <w:color w:val="3051F2"/>
                  <w:sz w:val="20"/>
                  <w:u w:val="single"/>
                </w:rPr>
                <w:t>Significant Accounting Policies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46">
              <w:r>
                <w:rPr>
                  <w:rStyle w:val="InternetLink"/>
                  <w:rFonts w:ascii="Times New Roman;serif" w:hAnsi="Times New Roman;serif"/>
                  <w:b w:val="false"/>
                  <w:strike w:val="false"/>
                  <w:dstrike w:val="false"/>
                  <w:color w:val="3051F2"/>
                  <w:sz w:val="20"/>
                  <w:u w:val="none"/>
                  <w:effect w:val="non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49">
              <w:r>
                <w:rPr>
                  <w:rStyle w:val="InternetLink"/>
                  <w:rFonts w:ascii="Times New Roman;serif" w:hAnsi="Times New Roman;serif"/>
                  <w:b w:val="false"/>
                  <w:color w:val="3051F2"/>
                  <w:sz w:val="20"/>
                  <w:u w:val="single"/>
                </w:rPr>
                <w:t>Note 3</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49">
              <w:r>
                <w:rPr>
                  <w:rStyle w:val="InternetLink"/>
                  <w:rFonts w:ascii="Times New Roman;serif" w:hAnsi="Times New Roman;serif"/>
                  <w:b w:val="false"/>
                  <w:color w:val="3051F2"/>
                  <w:sz w:val="20"/>
                  <w:u w:val="single"/>
                </w:rPr>
                <w:t>Restricted Cash</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49">
              <w:r>
                <w:rPr>
                  <w:rStyle w:val="InternetLink"/>
                  <w:rFonts w:ascii="Times New Roman;serif" w:hAnsi="Times New Roman;serif"/>
                  <w:b w:val="false"/>
                  <w:strike w:val="false"/>
                  <w:dstrike w:val="false"/>
                  <w:color w:val="3051F2"/>
                  <w:sz w:val="20"/>
                  <w:u w:val="none"/>
                  <w:effect w:val="none"/>
                </w:rPr>
                <w:t>27</w:t>
              </w:r>
            </w:hyperlink>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52">
              <w:r>
                <w:rPr>
                  <w:rStyle w:val="InternetLink"/>
                  <w:rFonts w:ascii="Times New Roman;serif" w:hAnsi="Times New Roman;serif"/>
                  <w:b w:val="false"/>
                  <w:color w:val="3051F2"/>
                  <w:sz w:val="20"/>
                  <w:u w:val="single"/>
                </w:rPr>
                <w:t>Note 4</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52">
              <w:r>
                <w:rPr>
                  <w:rStyle w:val="InternetLink"/>
                  <w:rFonts w:ascii="Times New Roman;serif" w:hAnsi="Times New Roman;serif"/>
                  <w:b w:val="false"/>
                  <w:color w:val="3051F2"/>
                  <w:sz w:val="20"/>
                  <w:u w:val="single"/>
                </w:rPr>
                <w:t>Revenue</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52">
              <w:r>
                <w:rPr>
                  <w:rStyle w:val="InternetLink"/>
                  <w:rFonts w:ascii="Times New Roman;serif" w:hAnsi="Times New Roman;serif"/>
                  <w:b w:val="false"/>
                  <w:strike w:val="false"/>
                  <w:dstrike w:val="false"/>
                  <w:color w:val="3051F2"/>
                  <w:sz w:val="20"/>
                  <w:u w:val="none"/>
                  <w:effect w:val="none"/>
                </w:rPr>
                <w:t>27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55">
              <w:r>
                <w:rPr>
                  <w:rStyle w:val="InternetLink"/>
                  <w:rFonts w:ascii="Times New Roman;serif" w:hAnsi="Times New Roman;serif"/>
                  <w:b w:val="false"/>
                  <w:color w:val="3051F2"/>
                  <w:sz w:val="20"/>
                  <w:u w:val="single"/>
                </w:rPr>
                <w:t>Note 5</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55">
              <w:r>
                <w:rPr>
                  <w:rStyle w:val="InternetLink"/>
                  <w:rFonts w:ascii="Times New Roman;serif" w:hAnsi="Times New Roman;serif"/>
                  <w:b w:val="false"/>
                  <w:color w:val="3051F2"/>
                  <w:sz w:val="20"/>
                  <w:u w:val="single"/>
                </w:rPr>
                <w:t>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55">
              <w:r>
                <w:rPr>
                  <w:rStyle w:val="InternetLink"/>
                  <w:rFonts w:ascii="Times New Roman;serif" w:hAnsi="Times New Roman;serif"/>
                  <w:b w:val="false"/>
                  <w:strike w:val="false"/>
                  <w:dstrike w:val="false"/>
                  <w:color w:val="3051F2"/>
                  <w:sz w:val="20"/>
                  <w:u w:val="none"/>
                  <w:effect w:val="none"/>
                </w:rPr>
                <w:t>29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58">
              <w:r>
                <w:rPr>
                  <w:rStyle w:val="InternetLink"/>
                  <w:rFonts w:ascii="Times New Roman;serif" w:hAnsi="Times New Roman;serif"/>
                  <w:b w:val="false"/>
                  <w:color w:val="3051F2"/>
                  <w:sz w:val="20"/>
                  <w:u w:val="single"/>
                </w:rPr>
                <w:t>Note 6</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58">
              <w:r>
                <w:rPr>
                  <w:rStyle w:val="InternetLink"/>
                  <w:rFonts w:ascii="Times New Roman;serif" w:hAnsi="Times New Roman;serif"/>
                  <w:b w:val="false"/>
                  <w:color w:val="3051F2"/>
                  <w:sz w:val="20"/>
                  <w:u w:val="single"/>
                </w:rPr>
                <w:t>Tax Receivable Agreement</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58">
              <w:r>
                <w:rPr>
                  <w:rStyle w:val="InternetLink"/>
                  <w:rFonts w:ascii="Times New Roman;serif" w:hAnsi="Times New Roman;serif"/>
                  <w:b w:val="false"/>
                  <w:strike w:val="false"/>
                  <w:dstrike w:val="false"/>
                  <w:color w:val="3051F2"/>
                  <w:sz w:val="20"/>
                  <w:u w:val="none"/>
                  <w:effect w:val="none"/>
                </w:rPr>
                <w:t>30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61">
              <w:r>
                <w:rPr>
                  <w:rStyle w:val="InternetLink"/>
                  <w:rFonts w:ascii="Times New Roman;serif" w:hAnsi="Times New Roman;serif"/>
                  <w:b w:val="false"/>
                  <w:color w:val="3051F2"/>
                  <w:sz w:val="20"/>
                  <w:u w:val="single"/>
                </w:rPr>
                <w:t>Note 7</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61">
              <w:r>
                <w:rPr>
                  <w:rStyle w:val="InternetLink"/>
                  <w:rFonts w:ascii="Times New Roman;serif" w:hAnsi="Times New Roman;serif"/>
                  <w:b w:val="false"/>
                  <w:color w:val="3051F2"/>
                  <w:sz w:val="20"/>
                  <w:u w:val="single"/>
                </w:rPr>
                <w:t>Non-Controlling Interests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61">
              <w:r>
                <w:rPr>
                  <w:rStyle w:val="InternetLink"/>
                  <w:rFonts w:ascii="Times New Roman;serif" w:hAnsi="Times New Roman;serif"/>
                  <w:b w:val="false"/>
                  <w:strike w:val="false"/>
                  <w:dstrike w:val="false"/>
                  <w:color w:val="3051F2"/>
                  <w:sz w:val="20"/>
                  <w:u w:val="none"/>
                  <w:effect w:val="none"/>
                </w:rPr>
                <w:t>30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64">
              <w:r>
                <w:rPr>
                  <w:rStyle w:val="InternetLink"/>
                  <w:rFonts w:ascii="Times New Roman;serif" w:hAnsi="Times New Roman;serif"/>
                  <w:b w:val="false"/>
                  <w:color w:val="3051F2"/>
                  <w:sz w:val="20"/>
                  <w:u w:val="single"/>
                </w:rPr>
                <w:t>Note 8</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64">
              <w:r>
                <w:rPr>
                  <w:rStyle w:val="InternetLink"/>
                  <w:rFonts w:ascii="Times New Roman;serif" w:hAnsi="Times New Roman;serif"/>
                  <w:b w:val="false"/>
                  <w:color w:val="000080"/>
                  <w:sz w:val="20"/>
                  <w:u w:val="single"/>
                </w:rPr>
                <w:t>Stockholders</w:t>
              </w:r>
            </w:hyperlink>
            <w:r>
              <w:rPr>
                <w:rFonts w:ascii="Times New Roman;serif" w:hAnsi="Times New Roman;serif"/>
                <w:b w:val="false"/>
                <w:color w:val="3051F2"/>
                <w:sz w:val="20"/>
                <w:u w:val="single"/>
              </w:rPr>
              <w:t>’</w:t>
            </w:r>
            <w:hyperlink w:anchor="i1a01a6712f254c13b5fc458d19e3331b_64">
              <w:r>
                <w:rPr>
                  <w:rStyle w:val="InternetLink"/>
                  <w:rFonts w:ascii="Times New Roman;serif" w:hAnsi="Times New Roman;serif"/>
                  <w:b w:val="false"/>
                  <w:color w:val="000080"/>
                  <w:sz w:val="20"/>
                  <w:u w:val="single"/>
                </w:rPr>
                <w:t xml:space="preserve"> Equity and Stock-Based Compensation Plans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64">
              <w:r>
                <w:rPr>
                  <w:rStyle w:val="InternetLink"/>
                  <w:rFonts w:ascii="Times New Roman;serif" w:hAnsi="Times New Roman;serif"/>
                  <w:b w:val="false"/>
                  <w:strike w:val="false"/>
                  <w:dstrike w:val="false"/>
                  <w:color w:val="3051F2"/>
                  <w:sz w:val="20"/>
                  <w:u w:val="none"/>
                  <w:effect w:val="none"/>
                </w:rPr>
                <w:t>31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70">
              <w:r>
                <w:rPr>
                  <w:rStyle w:val="InternetLink"/>
                  <w:rFonts w:ascii="Times New Roman;serif" w:hAnsi="Times New Roman;serif"/>
                  <w:b w:val="false"/>
                  <w:color w:val="3051F2"/>
                  <w:sz w:val="20"/>
                  <w:u w:val="single"/>
                </w:rPr>
                <w:t>Note 9</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70">
              <w:r>
                <w:rPr>
                  <w:rStyle w:val="InternetLink"/>
                  <w:rFonts w:ascii="Times New Roman;serif" w:hAnsi="Times New Roman;serif"/>
                  <w:b w:val="false"/>
                  <w:color w:val="3051F2"/>
                  <w:sz w:val="20"/>
                  <w:u w:val="single"/>
                </w:rPr>
                <w:t>Related Party Transactions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70">
              <w:r>
                <w:rPr>
                  <w:rStyle w:val="InternetLink"/>
                  <w:rFonts w:ascii="Times New Roman;serif" w:hAnsi="Times New Roman;serif"/>
                  <w:b w:val="false"/>
                  <w:strike w:val="false"/>
                  <w:dstrike w:val="false"/>
                  <w:color w:val="3051F2"/>
                  <w:sz w:val="20"/>
                  <w:u w:val="none"/>
                  <w:effect w:val="none"/>
                </w:rPr>
                <w:t>34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73">
              <w:r>
                <w:rPr>
                  <w:rStyle w:val="InternetLink"/>
                  <w:rFonts w:ascii="Times New Roman;serif" w:hAnsi="Times New Roman;serif"/>
                  <w:b w:val="false"/>
                  <w:color w:val="3051F2"/>
                  <w:sz w:val="20"/>
                  <w:u w:val="single"/>
                </w:rPr>
                <w:t>Note 10</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73">
              <w:r>
                <w:rPr>
                  <w:rStyle w:val="InternetLink"/>
                  <w:rFonts w:ascii="Times New Roman;serif" w:hAnsi="Times New Roman;serif"/>
                  <w:b w:val="false"/>
                  <w:color w:val="3051F2"/>
                  <w:sz w:val="20"/>
                  <w:u w:val="single"/>
                </w:rPr>
                <w:t>Fair Value of Financial Instruments and Other Assets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73">
              <w:r>
                <w:rPr>
                  <w:rStyle w:val="InternetLink"/>
                  <w:rFonts w:ascii="Times New Roman;serif" w:hAnsi="Times New Roman;serif"/>
                  <w:b w:val="false"/>
                  <w:strike w:val="false"/>
                  <w:dstrike w:val="false"/>
                  <w:color w:val="3051F2"/>
                  <w:sz w:val="20"/>
                  <w:u w:val="none"/>
                  <w:effect w:val="none"/>
                </w:rPr>
                <w:t>35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76">
              <w:r>
                <w:rPr>
                  <w:rStyle w:val="InternetLink"/>
                  <w:rFonts w:ascii="Times New Roman;serif" w:hAnsi="Times New Roman;serif"/>
                  <w:b w:val="false"/>
                  <w:color w:val="3051F2"/>
                  <w:sz w:val="20"/>
                  <w:u w:val="single"/>
                </w:rPr>
                <w:t>Note 11</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76">
              <w:r>
                <w:rPr>
                  <w:rStyle w:val="InternetLink"/>
                  <w:rFonts w:ascii="Times New Roman;serif" w:hAnsi="Times New Roman;serif"/>
                  <w:b w:val="false"/>
                  <w:color w:val="3051F2"/>
                  <w:sz w:val="20"/>
                  <w:u w:val="single"/>
                </w:rPr>
                <w:t>Credit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76">
              <w:r>
                <w:rPr>
                  <w:rStyle w:val="InternetLink"/>
                  <w:rFonts w:ascii="Times New Roman;serif" w:hAnsi="Times New Roman;serif"/>
                  <w:b w:val="false"/>
                  <w:strike w:val="false"/>
                  <w:dstrike w:val="false"/>
                  <w:color w:val="3051F2"/>
                  <w:sz w:val="20"/>
                  <w:u w:val="none"/>
                  <w:effect w:val="none"/>
                </w:rPr>
                <w:t>41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79">
              <w:r>
                <w:rPr>
                  <w:rStyle w:val="InternetLink"/>
                  <w:rFonts w:ascii="Times New Roman;serif" w:hAnsi="Times New Roman;serif"/>
                  <w:b w:val="false"/>
                  <w:color w:val="3051F2"/>
                  <w:sz w:val="20"/>
                  <w:u w:val="single"/>
                </w:rPr>
                <w:t>Note 12</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79">
              <w:r>
                <w:rPr>
                  <w:rStyle w:val="InternetLink"/>
                  <w:rFonts w:ascii="Times New Roman;serif" w:hAnsi="Times New Roman;serif"/>
                  <w:b w:val="false"/>
                  <w:color w:val="3051F2"/>
                  <w:sz w:val="20"/>
                  <w:u w:val="single"/>
                </w:rPr>
                <w:t>Commitments and Contingencies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79">
              <w:r>
                <w:rPr>
                  <w:rStyle w:val="InternetLink"/>
                  <w:rFonts w:ascii="Times New Roman;serif" w:hAnsi="Times New Roman;serif"/>
                  <w:b w:val="false"/>
                  <w:strike w:val="false"/>
                  <w:dstrike w:val="false"/>
                  <w:color w:val="3051F2"/>
                  <w:sz w:val="20"/>
                  <w:u w:val="none"/>
                  <w:effect w:val="none"/>
                </w:rPr>
                <w:t>42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85">
              <w:r>
                <w:rPr>
                  <w:rStyle w:val="InternetLink"/>
                  <w:rFonts w:ascii="Times New Roman;serif" w:hAnsi="Times New Roman;serif"/>
                  <w:b w:val="false"/>
                  <w:color w:val="3051F2"/>
                  <w:sz w:val="20"/>
                  <w:u w:val="single"/>
                </w:rPr>
                <w:t>Note 13</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85">
              <w:r>
                <w:rPr>
                  <w:rStyle w:val="InternetLink"/>
                  <w:rFonts w:ascii="Times New Roman;serif" w:hAnsi="Times New Roman;serif"/>
                  <w:b w:val="false"/>
                  <w:color w:val="3051F2"/>
                  <w:sz w:val="20"/>
                  <w:u w:val="single"/>
                </w:rPr>
                <w:t>Earnings Per Share</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85">
              <w:r>
                <w:rPr>
                  <w:rStyle w:val="InternetLink"/>
                  <w:rFonts w:ascii="Times New Roman;serif" w:hAnsi="Times New Roman;serif"/>
                  <w:b w:val="false"/>
                  <w:strike w:val="false"/>
                  <w:dstrike w:val="false"/>
                  <w:color w:val="3051F2"/>
                  <w:sz w:val="20"/>
                  <w:u w:val="none"/>
                  <w:effect w:val="none"/>
                </w:rPr>
                <w:t>44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88">
              <w:r>
                <w:rPr>
                  <w:rStyle w:val="InternetLink"/>
                  <w:rFonts w:ascii="Times New Roman;serif" w:hAnsi="Times New Roman;serif"/>
                  <w:b w:val="false"/>
                  <w:color w:val="3051F2"/>
                  <w:sz w:val="20"/>
                  <w:u w:val="single"/>
                </w:rPr>
                <w:t>Note 14</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88">
              <w:r>
                <w:rPr>
                  <w:rStyle w:val="InternetLink"/>
                  <w:rFonts w:ascii="Times New Roman;serif" w:hAnsi="Times New Roman;serif"/>
                  <w:b w:val="false"/>
                  <w:color w:val="3051F2"/>
                  <w:sz w:val="20"/>
                  <w:u w:val="single"/>
                </w:rPr>
                <w:t>Regulatory Capital Requirements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88">
              <w:r>
                <w:rPr>
                  <w:rStyle w:val="InternetLink"/>
                  <w:rFonts w:ascii="Times New Roman;serif" w:hAnsi="Times New Roman;serif"/>
                  <w:b w:val="false"/>
                  <w:strike w:val="false"/>
                  <w:dstrike w:val="false"/>
                  <w:color w:val="3051F2"/>
                  <w:sz w:val="20"/>
                  <w:u w:val="none"/>
                  <w:effect w:val="none"/>
                </w:rPr>
                <w:t>45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91">
              <w:r>
                <w:rPr>
                  <w:rStyle w:val="InternetLink"/>
                  <w:rFonts w:ascii="Times New Roman;serif" w:hAnsi="Times New Roman;serif"/>
                  <w:b w:val="false"/>
                  <w:color w:val="3051F2"/>
                  <w:sz w:val="20"/>
                  <w:u w:val="single"/>
                </w:rPr>
                <w:t>Note 15</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91">
              <w:r>
                <w:rPr>
                  <w:rStyle w:val="InternetLink"/>
                  <w:rFonts w:ascii="Times New Roman;serif" w:hAnsi="Times New Roman;serif"/>
                  <w:b w:val="false"/>
                  <w:color w:val="3051F2"/>
                  <w:sz w:val="20"/>
                  <w:u w:val="single"/>
                </w:rPr>
                <w:t>Business Segment and Geographic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91">
              <w:r>
                <w:rPr>
                  <w:rStyle w:val="InternetLink"/>
                  <w:rFonts w:ascii="Times New Roman;serif" w:hAnsi="Times New Roman;serif"/>
                  <w:b w:val="false"/>
                  <w:strike w:val="false"/>
                  <w:dstrike w:val="false"/>
                  <w:color w:val="3051F2"/>
                  <w:sz w:val="20"/>
                  <w:u w:val="none"/>
                  <w:effect w:val="none"/>
                </w:rPr>
                <w:t>46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a6712f254c13b5fc458d19e3331b_94">
              <w:r>
                <w:rPr>
                  <w:rStyle w:val="InternetLink"/>
                  <w:rFonts w:ascii="Times New Roman;serif" w:hAnsi="Times New Roman;serif"/>
                  <w:b w:val="false"/>
                  <w:color w:val="3051F2"/>
                  <w:sz w:val="20"/>
                  <w:u w:val="single"/>
                </w:rPr>
                <w:t>Note 16</w:t>
              </w:r>
            </w:hyperlink>
          </w:p>
        </w:tc>
        <w:tc>
          <w:tcPr>
            <w:tcW w:w="4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01a6712f254c13b5fc458d19e3331b_94">
              <w:r>
                <w:rPr>
                  <w:rStyle w:val="InternetLink"/>
                  <w:rFonts w:ascii="Times New Roman;serif" w:hAnsi="Times New Roman;serif"/>
                  <w:b w:val="false"/>
                  <w:color w:val="3051F2"/>
                  <w:sz w:val="20"/>
                  <w:u w:val="single"/>
                </w:rPr>
                <w:t>Subsequent Events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01a6712f254c13b5fc458d19e3331b_94">
              <w:r>
                <w:rPr>
                  <w:rStyle w:val="InternetLink"/>
                  <w:rFonts w:ascii="Times New Roman;serif" w:hAnsi="Times New Roman;serif"/>
                  <w:b w:val="false"/>
                  <w:strike w:val="false"/>
                  <w:dstrike w:val="false"/>
                  <w:color w:val="3051F2"/>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Tradeweb Markets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00" w:after="283"/>
        <w:jc w:val="left"/>
        <w:rPr/>
      </w:pPr>
      <w:r>
        <w:rPr>
          <w:rFonts w:ascii="Times New Roman;serif" w:hAnsi="Times New Roman;serif"/>
          <w:b w:val="false"/>
          <w:color w:val="000000"/>
          <w:sz w:val="20"/>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w:t>
      </w:r>
      <w:r>
        <w:rPr>
          <w:color w:val="000000"/>
          <w:shd w:fill="FFFFFF" w:val="clear"/>
        </w:rPr>
        <w:t xml:space="preserve"> </w:t>
      </w:r>
      <w:r>
        <w:rPr>
          <w:rFonts w:ascii="Times New Roman;serif" w:hAnsi="Times New Roman;serif"/>
          <w:b w:val="false"/>
          <w:color w:val="000000"/>
          <w:sz w:val="20"/>
          <w:shd w:fill="FFFFFF" w:val="clear"/>
        </w:rPr>
        <w:t xml:space="preserve">owned an indirect majority ownership interest in the Company (as defined below).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pStyle w:val="TextBody"/>
        <w:bidi w:val="0"/>
        <w:spacing w:lineRule="auto" w:line="288" w:before="200" w:after="283"/>
        <w:jc w:val="left"/>
        <w:rPr/>
      </w:pPr>
      <w:r>
        <w:rPr>
          <w:rFonts w:ascii="Times New Roman;serif" w:hAnsi="Times New Roman;serif"/>
          <w:b w:val="false"/>
          <w:color w:val="000000"/>
          <w:sz w:val="20"/>
        </w:rPr>
        <w:t xml:space="preserve">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both June 30, 2026 and December 31, 2025, Tradeweb Markets Inc. owned 90.2% of TWM LLC and the non-controlling interest holders owned the remaining 9.8% of TWM LLC. </w:t>
      </w:r>
      <w:r>
        <w:rPr>
          <w:rFonts w:ascii="Times New Roman;serif" w:hAnsi="Times New Roman;serif"/>
          <w:b w:val="false"/>
          <w:color w:val="000000"/>
          <w:sz w:val="20"/>
          <w:shd w:fill="FFFFFF" w:val="clear"/>
        </w:rPr>
        <w:t>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6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is a leader in building and operating electronic marketplaces for a global network of clients across the institutional, wholesale, retail and corporates client sectors. The Company’s principal subsidiaries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Dealerweb LLC (“DW”) (formerly known as Hilliard Farber &amp; Co., Inc. and Dealerweb Inc.), a registered broker-dealer under the Exchange Act and a member of FINRA and MSRB. DW is also registered as an introducing broker with the CFTC and a member of the NFA.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Direct LLC (“TWD”) (formerly known as BondDesk Trading LLC), a registered broker-dealer under the Exchange Act and a member of FINRA and MSRB.</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Institutional Cash Distributors LLC (“ICDLC”), acquired on August 1, 2024, a registered broker-dealer under the Exchange Act and a member of FINRA.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Europe Limited (“TEL”), a MiFID Investment Firm regulated by the Financial Conduct Authority (the “FCA”) in the UK and certain other global regulators and that maintains branches in Hong Kong and Singapore.</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TW SEF LLC (“TW SEF”), a Swap Execution Facility (“SEF”) regulated by the CFTC and certain other global regulators and a registered </w:t>
      </w:r>
      <w:r>
        <w:rPr>
          <w:rFonts w:ascii="Times New Roman;serif" w:hAnsi="Times New Roman;serif"/>
          <w:b w:val="false"/>
          <w:color w:val="000000"/>
          <w:sz w:val="20"/>
        </w:rPr>
        <w:t>security-based swap execution facility (“SBSEF”) under the Exchange Act</w:t>
      </w:r>
      <w:r>
        <w:rPr>
          <w:rFonts w:ascii="Times New Roman;serif" w:hAnsi="Times New Roman;serif"/>
          <w:b w:val="false"/>
          <w:color w:val="000000"/>
          <w:sz w:val="20"/>
          <w:shd w:fill="FFFFFF" w:val="clear"/>
        </w:rPr>
        <w:t xml:space="preserve">. </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DW SEF LLC (“DW SEF”), a SEF regulated by the CFTC and certain other global regulators.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Japan K.K. (“TWJ”), a security house regulated by the Japanese Financial Services Agency (“JFSA”) and the Japan Securities Dealers Association (“JSDA”).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EU B.V. (“TWEU”), a MiFID Investment Firm regulated by the Netherlands Authority for the Financial Markets (“AFM”), the De Nederlandsche Bank (“DNB”) and certain other global regulators and that maintains branches in France and Italy.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Execution Services Limited (“TESL”), an Investment Firm (“BIPRU Firm”) regulated by the FCA in the UK with an exemption from the Australian Securities &amp; Investments Commission (“ASIC”) from having to hold an Australian financial services license.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Information Technology Services (Shanghai) Co., Ltd.,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Execution Services B.V. (“TESBV”), a MiFID Investment Firm authorized and regulated by the AFM, with permission to trade on a matched principal basis.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Tradeweb Australia Pty Ltd (formerly Yieldbroker Pty Limited) (“YB” or “Yieldbroker”), acquired in August 2023, a Tier 1 Australian Markets Licensee in Australia, regulated by ASIC.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TW Technology and Trading Private Limited (“TTTL”), a private limited company incorporated in Mumbai, India. Its business scope includes providing a sales relationship support function for Tradeweb’s offshore trading platform into India.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Brasil Ltda. (“TWB”), a limited liability company incorporated in Sao Paulo, Brazil.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Institutional Cash Distributors Limited (“ICDLT”), acquired on August 1, 2024, a firm engaged in the provision of intermediary services authorized and regulated by the FCA in the UK.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Company, a Joint Stock Company incorporated in the Kingdom of Saudi Arabia (“TWSA”), authorized and regulated by the Capital Markets Authority (“CMA”) to operate an Alternative Trading System (“ATS”).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Tradeweb Asia Pte. Ltd. (“TAPL”), a Singapore based company licensed by the Monetary Authority of Singapore (“MAS”) as a Capital Markets Service Provider.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TW Global Capability Centre Private Limited (“TWGC”), a private limited company based in Bangalore, India, operates as a support center for various administrative functions.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acquired Institutional Cash Distributors (“ICD”) by purchasing all of the outstanding equity interests of each of ICD Intermediate Holdco 1, LLC, SCIC - ICD Blocker 1, Inc. and Parthenon Investors V ICD Blocker, Inc. (the “ICD Acquisition”). ICD is an institutional investment technology provider for corporate treasury organizations trading short-term investments. ICD’s flagship products include the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2024 acquisition of ICD and its proprietary technology, the Company added “corporates” as a client channel, serving corporate treasury professionals, complementing the Company’s previously existing focus on institutional, wholesale and retail clients.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the Company acquired R8FIN Holdings LP (together with its subsidiaries, “r8fin”) (the “r8fin Acquisition”). r8fin provides a suite of algorithmic-based tools as well as a thin-client execution management system (“EMS”) trading application to facilitate futures and cash trades. The r8fin solutions complement Tradeweb’s Active Streams, Central Limit Order Book (“CLOB”), Request-for-Quote (“RFQ”) and Automated Intelligent Execution (“AiEX”) offerings.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2021, the Company acquired Nasdaq’s U.S. fixed income electronic trading platform, formerly known as eSpeed (the “NFI Acquisition”), which is a fully executable CLOB for electronic trading in on-the-run (“OTR”) U.S. government bonds.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public investors collectively owned 114,140,240 shares of Class A common stock, representing 9.9% of the combined voting power of Tradeweb Markets Inc.’s issued and outstanding common stock and indirectly, through Tradeweb Markets Inc., owned 48.7% of the economic interest in TWM LLC;</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LSEG indirectly owned 96,933,192 shares of Class B common stock, 18,000,000 shares of Class C common stock and 4,988,329 shares of Class D common stock, collectively representing 90.0% of the combined voting power of Tradeweb Markets Inc.’s issued and outstanding common stock and directly and indirectly, through Tradeweb Markets Inc., owned 51.2% of the economic interest in TWM LLC;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stockholders that continued to own LLC Interests also collectively owned 68,539 shares of Class D common stock, representing less than 0.1% of the combined voting power of Tradeweb Markets Inc.’s issued and outstanding common stock. Collectively, these stockholders directly owned less than 0.1% of the economic interest in TWM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In addition, the Company’s basic and diluted earnings per share calculations for the three and six months ended June 30, 2026 were impacted by 51,400 and 64,857, respectively, of weighted average shares resulting from unvested or unsettled vested stock awards that were considered participating securities for purposes of calculating earnings per share in accordance with the two</w:t>
      </w:r>
      <w:r>
        <w:rPr>
          <w:rFonts w:ascii="Times New Roman;serif" w:hAnsi="Times New Roman;serif"/>
          <w:b/>
          <w:color w:val="000000"/>
          <w:sz w:val="20"/>
        </w:rPr>
        <w:t>-</w:t>
      </w:r>
      <w:r>
        <w:rPr>
          <w:rFonts w:ascii="Times New Roman;serif" w:hAnsi="Times New Roman;serif"/>
          <w:b w:val="false"/>
          <w:color w:val="000000"/>
          <w:sz w:val="20"/>
        </w:rPr>
        <w:t>class method. The Company’s diluted earnings per share calculations for the three and six months ended June 30, 2026 also include 331,544 and 485,527, respectively, of weighted average shares resulting from the dilutive effect of its equity incentive plans. See Note 13 – Earnings Per Share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significant accounting policies: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are unaudited and should be read in conjunction with the audited consolidated financial statements included in the Company’s Annual Report on Form 10-K for the year ended December 31, 2025. The consolidated financial information as of December 31, 2025 has been derived from audited financial statements not included herein. These unaudited condensed consolidated financial statements have been prepared in accordance with accounting principles generally accepted in the United States of America (“GAAP”) and the rules and regulations of the U.S. Securities and Exchange Commission (“SEC”) with respect to interim financial reporting and Form 10-Q. In accordance with such rules and regulations, certain disclosures that are normally included in annual financial statements have been omitted. These unaudited condensed consolidated financial statements reflect all normal and recurring adjustments that are, in the opinion of management, necessary for a fair statement of the results for the interim periods presented. Operating results for interim periods are not necessarily indicative of the results that may be expected for the full year.</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Business combinations are accounted for under the purchase method of accounting </w:t>
      </w:r>
      <w:r>
        <w:rPr>
          <w:rFonts w:ascii="Times New Roman;serif" w:hAnsi="Times New Roman;serif"/>
          <w:b w:val="false"/>
          <w:color w:val="000000"/>
          <w:sz w:val="20"/>
        </w:rPr>
        <w:t>pursuant to Accounting Standards Codification (“ASC”) 805,</w:t>
      </w:r>
      <w:r>
        <w:rPr>
          <w:color w:val="000000"/>
        </w:rPr>
        <w:t xml:space="preserve">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w:t>
      </w:r>
      <w:r>
        <w:rPr>
          <w:rFonts w:ascii="Times New Roman;serif" w:hAnsi="Times New Roman;serif"/>
          <w:b w:val="false"/>
          <w:color w:val="000000"/>
          <w:sz w:val="20"/>
          <w:shd w:fill="FFFFFF" w:val="clear"/>
        </w:rPr>
        <w:t xml:space="preserve">. The total cost of an acquisition is allocated to the underlying net assets based on their respective estimated fair values. The excess of the purchase price over the estimated fair values of the net assets acquired is recorded as goodwill. </w:t>
      </w:r>
      <w:r>
        <w:rPr>
          <w:rFonts w:ascii="Times New Roman;serif" w:hAnsi="Times New Roman;serif"/>
          <w:b w:val="false"/>
          <w:color w:val="000000"/>
          <w:sz w:val="20"/>
        </w:rPr>
        <w:t xml:space="preserve">The fair value of assets acquired and liabilities assumed is determined based on assumptions that reasonable market participants would use in the principal (or most advantageous) market for the asset or liability. </w:t>
      </w:r>
      <w:r>
        <w:rPr>
          <w:rFonts w:ascii="Times New Roman;serif" w:hAnsi="Times New Roman;serif"/>
          <w:b w:val="false"/>
          <w:color w:val="000000"/>
          <w:sz w:val="20"/>
          <w:shd w:fill="FFFFFF" w:val="clear"/>
        </w:rPr>
        <w:t>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Transaction costs incurred to effect a business combination are expensed as incurred and are </w:t>
      </w:r>
      <w:r>
        <w:rPr>
          <w:rFonts w:ascii="Times New Roman;serif" w:hAnsi="Times New Roman;serif"/>
          <w:b w:val="false"/>
          <w:color w:val="000000"/>
          <w:sz w:val="20"/>
        </w:rPr>
        <w:t>included as a component of professional fees or general and administrative expenses in the condensed consolidated statements of income</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Pushdown Accounting</w:t>
      </w:r>
    </w:p>
    <w:p>
      <w:pPr>
        <w:pStyle w:val="TextBody"/>
        <w:bidi w:val="0"/>
        <w:spacing w:lineRule="auto" w:line="288" w:before="200" w:after="283"/>
        <w:jc w:val="left"/>
        <w:rPr/>
      </w:pPr>
      <w:r>
        <w:rPr>
          <w:rFonts w:ascii="Times New Roman;serif" w:hAnsi="Times New Roman;serif"/>
          <w:b w:val="false"/>
          <w:color w:val="000000"/>
          <w:sz w:val="20"/>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consists of cash and highly liquid investments with remaining maturities at the time of purchase of three months or less.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An analysis of the financial condition of the Company’s counterparties is also performed. When estimating credit losses on current accounts receivable and current contract assets arising from revenue from contracts with customers, the Company has elected the practical expedient to assume that current conditions as of the statement of financial condition date do not change for the remaining life of the asset. Additions to the allowance for credit losses relating to client receivables are charged to credit loss expense, included as a component of general and administrative expenses in the condensed consolidated statements of income. Aged balances that are determined to be uncollectible are written off against the allowance for credit losses.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 allowance for credit losses is also recognized for any credit impairment of the Company’s digital asset loan receivable and available-for-sale debt securities, with the credit loss included as a component of other income (loss), net in the condensed consolidated statements of income. See Note 11 – Credit Risk for additional information.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Receivable from and Payable to Brokers and Dealers and Clearing Organizations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Receivable from and payable to brokers and dealers and clearing organizations consists of proceeds from wholesale transactions executed on the Company’s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Deposits with Clearing Organizations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Deposits with clearing organizations are comprised of cash deposits.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Furniture, Equipment, Purchased Software and Leasehold Improvements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Furniture, equipment, purchased software and leasehold improvements are tested for impairment whenever events or changes in circumstances suggest that an asset’s carrying value may not be fully recoverable.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accumulated depreciation related to furniture, equipment, purchased software and leasehold improvements totaled $104.3 million and $96.7 million, respectively. Depreciation expense for furniture, equipment, purchased software and leasehold improvements was $7.2 million and $5.9 million for the three months ended June 30, 2026 and 2025, respectively, and $14.4 million and $12.0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Software Development Costs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accumulated amortization related to software development costs totaled $436.6 million and $387.1 million, respectively. Amortization expense for software development costs was $25.2 million and $22.6 million for the three months ended June 30, 2026 and 2025, respectively, and $49.6 million and $44.5 million for the six months ended June 30, 2026 and 2025,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which were all accounted for as business combinations.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Goodwill was last tested for impairment on October 1, 2025 and no impairment of goodwill was identified.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pStyle w:val="TextBody"/>
        <w:bidi w:val="0"/>
        <w:spacing w:lineRule="auto" w:line="288" w:before="20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December 31, 2025, accumulated amortization related to intangible assets totaled $857.9 million and $799.7 million, respectively. Amortization expense for definite-lived intangible assets was $29.1 million and $34.6 million for the three months ended June 30, 2026 and 2025, respectively, and $58.2 million and $69.2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Digital Assets and Other Investments at Fair Value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Investments in Digital Assets - Canton Coins</w:t>
      </w:r>
    </w:p>
    <w:p>
      <w:pPr>
        <w:pStyle w:val="TextBody"/>
        <w:bidi w:val="0"/>
        <w:spacing w:lineRule="auto" w:line="288" w:before="200" w:after="283"/>
        <w:jc w:val="left"/>
        <w:rPr/>
      </w:pPr>
      <w:r>
        <w:rPr>
          <w:rFonts w:ascii="Times New Roman;serif" w:hAnsi="Times New Roman;serif"/>
          <w:b w:val="false"/>
          <w:color w:val="000000"/>
          <w:sz w:val="20"/>
        </w:rPr>
        <w:t xml:space="preserve">The Company performs services as a Super Validator and Validator on the Global Synchronizer, the Canton Network’s decentralized interoperability infrastructure. </w:t>
      </w:r>
      <w:r>
        <w:rPr>
          <w:rFonts w:ascii="Times New Roman;serif" w:hAnsi="Times New Roman;serif"/>
          <w:b w:val="false"/>
          <w:color w:val="000000"/>
          <w:sz w:val="20"/>
          <w:shd w:fill="FFFFFF" w:val="clear"/>
        </w:rPr>
        <w:t>The Canton Network is a public-permissioned blockchain network designed with privacy and controls to facilitate the exchange of regulated financial assets.</w:t>
      </w:r>
      <w:r>
        <w:rPr>
          <w:color w:val="000000"/>
        </w:rPr>
        <w:t xml:space="preserve"> </w:t>
      </w:r>
      <w:r>
        <w:rPr>
          <w:rFonts w:ascii="Times New Roman;serif" w:hAnsi="Times New Roman;serif"/>
          <w:b w:val="false"/>
          <w:color w:val="000000"/>
          <w:sz w:val="20"/>
        </w:rPr>
        <w:t xml:space="preserve">The Canton Network’s Global Synchronizer includes a utility token, which is a digital asset called the Canton Coin. As a Super Validator and Validator on the network, the Company verifies network transactions and contributes to the consensus mechanism of the network. For these validation services, the Company earns Canton Coins and then generally holds the Canton Coins on its balance sheet for investment purposes and may use Canton Coins to pay fees associated with its own Canton Network activity. The cost basis of the Canton Coins received throughout each day is initially recorded at its fair value on the date of receipt as a component of digital assets and other investments at fair value on the condensed consolidated statements of financial condition. The Canton Coins are then remeasured to fair market value at the end of each reporting period through an adjustment to unrealized gain/(loss), included as a component of other income (loss), net on the condensed consolidated statements of income. The Company employs the first-in-first-out (“FIFO”) method to determine the cost basis of its Canton Coins for the computation of gains and losses on any disposal or sale of Canton Coins. Realized gain/(loss) on any disposal or sale of Canton Coins are also included as a component of other income (loss), net in the condensed consolidated statements of income.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Investments in Available-for-Sale Debt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Investments in available-for-sale debt securities are carried at fair value with unrealized gains or losses excluded from earnings and reported in accumulated other comprehensive loss in the condensed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condensed consolidated statements of income.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digital assets and other investments at fair value on the condensed consolidated statements of financial condition.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Investments in Equity Securities with a Readily Determinable Fair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Minority investments in equity securities with a readily determinable fair value that are not accounted for under the equity method are remeasured to fair market value at the end of each reporting period through an adjustment to unrealized gain/(loss) included as a component of other income (loss), net on the condensed consolidated statements of income. These investments are included as a component of digital assets and other investments at fair value on the condensed consolidated statements of financial condition.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Equity Investments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accounts for equity investments under the equity method of accounting when it has significant influence over the entity’s operating and financial policies but does not have a controlling financial interest. For equity investments in corporations, the equity method applies only to investments in common stock or in-substance common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equity method investments, the Company records its estimated pro rata share of earnings or losses each reporting period as a component of other income (loss) in the condensed consolidated statements of income and records any dividends as a reduction of the investment balance. Equity method investments are reviewed for impairment whenever events or changes in circumstances indicate that the carrying amount of the investment may not be recoverable. If the estimated fair value of the investment is less than the carrying amount and management considers the decline in value to be other than temporary, the excess of the carrying amount over the estimated fair value is recognized in net income as an impairment in the period the impairment occurs.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minority investments in equity securities without a readily determinable fair value that are not accounted for under the equity method, the Company applies the measurement alternative. Under the measurement alternative, these investments are measured at cost, less impairment, plus or minus observable price changes (in orderly transactions) of an identical or similar investment of the same issuer. On a quarterly basis, the Company performs a qualitative assessment to evaluate whether the equity investment is impaired and if the Company determines that the equity investment is impaired on the basis of a qualitative assessment, the Company will recognize an impairment loss in net income equal to the amount by which the investment’s carrying amount exceeds its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and investments in equity securities without a readily determinable fair value are included as a component of other assets on the condensed consolidated statements of financial condition.</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Sold Under Agreements to Repurchase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the Company sells securities under agreements to repurchase in order to facilitate the clearance of securities. Securities sold under agreements to repurchase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condensed consolidated statements of income.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classification of revenues in the condensed consolidated statements of income primarily represents revenues from contracts with customers disaggregated by type of revenue. See Note 4 – Revenue for additional details regarding revenue types and the Company’s policies regarding revenue recognition.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Translation of Foreign Currency and Foreign Exchange Derivative Contracts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gains/losses totaled a loss of $0.3 million and a gain of $1.7 million during the three months ended June 30, 2026 and 2025, respectively, and a loss of $1.8 million and a gain of $2.6 million during the six months ended June 30, 2026 and 2025,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pStyle w:val="TextBody"/>
        <w:bidi w:val="0"/>
        <w:spacing w:lineRule="auto" w:line="288" w:before="200" w:after="283"/>
        <w:jc w:val="left"/>
        <w:rPr/>
      </w:pPr>
      <w:r>
        <w:rPr>
          <w:rFonts w:ascii="Times New Roman;serif" w:hAnsi="Times New Roman;serif"/>
          <w:b w:val="false"/>
          <w:color w:val="000000"/>
          <w:sz w:val="20"/>
        </w:rPr>
        <w:t>The Company enters into foreign currency forward contracts to mitigate its U.S. dollar and British pound sterling versus euro exposure, generally with a duration of less than 12 months.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related cash flows are included in cash flows from operating activities. The Company does not use derivative instruments for trading or speculative purposes. Realized and unrealized gains/losses on foreign currency forward contracts totaled a gain of $4.7 million and a loss of $14.5 million during the three months ended June 30, 2026 and 2025, respectively, and a gain of $10.2 million and a loss of $20.8 million during the six months ended June 30, 2026 and 2025, respectively. As of June 30, 2026 and December 31, 2025, the counterparty o</w:t>
      </w:r>
      <w:r>
        <w:rPr>
          <w:rFonts w:ascii="Times New Roman;serif" w:hAnsi="Times New Roman;serif"/>
          <w:b w:val="false"/>
          <w:color w:val="000000"/>
          <w:sz w:val="20"/>
          <w:shd w:fill="FFFFFF" w:val="clear"/>
        </w:rPr>
        <w:t>n each of the foreign exchange derivative contracts was an affiliate of LSEG</w:t>
      </w:r>
      <w:r>
        <w:rPr>
          <w:color w:val="000000"/>
        </w:rPr>
        <w:t xml:space="preserve"> </w:t>
      </w:r>
      <w:r>
        <w:rPr>
          <w:rFonts w:ascii="Times New Roman;serif" w:hAnsi="Times New Roman;serif"/>
          <w:b w:val="false"/>
          <w:color w:val="000000"/>
          <w:sz w:val="20"/>
        </w:rPr>
        <w:t xml:space="preserve">and therefore the corresponding assets or liabilities on such contracts were included in receivable and due from related parties or payable and due to related parties, respectively, on the accompanying condensed consolidated statements of financial condition. </w:t>
      </w:r>
      <w:r>
        <w:rPr>
          <w:rFonts w:ascii="Times New Roman;serif" w:hAnsi="Times New Roman;serif"/>
          <w:b w:val="false"/>
          <w:color w:val="000000"/>
          <w:sz w:val="20"/>
          <w:shd w:fill="FFFFFF" w:val="clear"/>
        </w:rPr>
        <w:t>See Note 10 – Fair Value of Financial Instruments and Other Assets for additional details on the Company</w:t>
      </w:r>
      <w:r>
        <w:rPr>
          <w:color w:val="000000"/>
        </w:rPr>
        <w:t>’</w:t>
      </w:r>
      <w:r>
        <w:rPr>
          <w:rFonts w:ascii="Times New Roman;serif" w:hAnsi="Times New Roman;serif"/>
          <w:b w:val="false"/>
          <w:color w:val="000000"/>
          <w:sz w:val="20"/>
          <w:shd w:fill="FFFFFF" w:val="clear"/>
        </w:rPr>
        <w:t>s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Income Tax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elected to treat taxes due on future U.S. inclusions in taxable income under the global intangible low-taxed income (“GILTI”) provision of the Tax Cuts and Jobs Act of 2017 as a current period expense when incurred.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as of June 30, 2026 or December 31, 2025 or the Company’s condensed consolidated statements of income or cash flows for the three and six months ended June 30, 2026. The Company will continue to evaluate the implications of this legislation on future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condensed consolidated statements of financial condition as of June 30, 2026 or December 31, 2025 or the Company’s condensed consolidated statements of income or cash flows for the three and six months ended June 30, 2026 or 2025. The Company is subject to the current 15% CAMT, however, it did not have an impact on the Company’s effective tax rate for the three and six months ended June 30, 2026 or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condensed consolidated statements of financial condition as of June 30, 2026 or December 31, 2025 or the Company’s condensed consolidated statements of income or cash flows for the three and six months ended June 30, 2026 or 2025. The Company continues to monitor developments related to the G7’s discussions on global tax reform and is awaiting legislative updates.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grant-date fair value of stock-based awards with only time-based vesting requirements and stock-based awards that also vest based on the financial performance of the Company are determined based on the price of the Company’s Class A common stock on the grant date. For performance-based restricted stock units that vest based on the financial performance of the Company, the number of shares included in the stock-based compensation expense calculation each period is based on management’s estimate of the probable number of shares expected to be issued at settlement.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performance-based restricted stock units that vest based on market conditions, the Company recognizes stock-based compensation expense based on the estimated grant-date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If the service condition applicable for such award is met, expense is recognized based on the grant-date fair value of the award even if the market condition is not achieved.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Forfeitures of stock-based awards related to service conditions not being met are recognized as they occur.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Prior to the IPO, the Company awarded options to management and other employees (collectively, the “Special Option Award”) under the Amended and Restated Tradeweb Markets Inc. Option Plan (the “Option Plan”). The non-cash stock-based compensation expense associated with the Special Option Award was expensed beginning in the second quarter of 2019 and ended during the first quarter of 2024 when all previously awarded options were fully vested.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stockholders.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pStyle w:val="TextBody"/>
        <w:bidi w:val="0"/>
        <w:spacing w:lineRule="auto" w:line="288" w:before="200" w:after="283"/>
        <w:jc w:val="left"/>
        <w:rPr/>
      </w:pPr>
      <w:r>
        <w:rPr>
          <w:rFonts w:ascii="Times New Roman;serif" w:hAnsi="Times New Roman;serif"/>
          <w:b w:val="false"/>
          <w:color w:val="000000"/>
          <w:sz w:val="20"/>
        </w:rPr>
        <w:t>The dilutive effect of stock options and other stock</w:t>
      </w:r>
      <w:r>
        <w:rPr>
          <w:rFonts w:ascii="Times New Roman;serif" w:hAnsi="Times New Roman;serif"/>
          <w:b/>
          <w:color w:val="000000"/>
          <w:sz w:val="20"/>
        </w:rPr>
        <w:t>-</w:t>
      </w:r>
      <w:r>
        <w:rPr>
          <w:rFonts w:ascii="Times New Roman;serif" w:hAnsi="Times New Roman;serif"/>
          <w:b w:val="false"/>
          <w:color w:val="000000"/>
          <w:sz w:val="20"/>
        </w:rPr>
        <w:t>based payment awards is calculated using the treasury stock method, which assumes the proceeds from the exercise of these instruments are used to purchase shares of Class A common stock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stock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Shares of Class C and Class D common stock do not have economic rights in Tradeweb Markets Inc. and, therefore, are not included in the calculation of basic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Fair Value Measurement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pStyle w:val="TextBody"/>
        <w:bidi w:val="0"/>
        <w:spacing w:lineRule="auto" w:line="288" w:before="200" w:after="283"/>
        <w:jc w:val="left"/>
        <w:rPr/>
      </w:pPr>
      <w:r>
        <w:rPr>
          <w:rFonts w:ascii="Times New Roman;serif" w:hAnsi="Times New Roman;serif"/>
          <w:b w:val="false"/>
          <w:color w:val="000000"/>
          <w:sz w:val="20"/>
        </w:rPr>
        <w:t xml:space="preserve">The fair value hierarchy under ASC 820, </w:t>
      </w:r>
      <w:r>
        <w:rPr>
          <w:rFonts w:ascii="Times New Roman;serif" w:hAnsi="Times New Roman;serif"/>
          <w:b w:val="false"/>
          <w:i/>
          <w:color w:val="000000"/>
          <w:sz w:val="20"/>
        </w:rPr>
        <w:t xml:space="preserve">Fair Value Measurement </w:t>
      </w:r>
      <w:r>
        <w:rPr>
          <w:rFonts w:ascii="Times New Roman;serif" w:hAnsi="Times New Roman;serif"/>
          <w:b w:val="false"/>
          <w:color w:val="000000"/>
          <w:sz w:val="20"/>
        </w:rPr>
        <w:t>(“ASC 820”)</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Basis of Fair Value Measurement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 asset or liability’s level within the fair value hierarchy is based on the lowest level of any input that is significant to the fair value measurement.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u w:val="single"/>
        </w:rPr>
        <w:t>Level 1</w:t>
      </w:r>
      <w:r>
        <w:rPr>
          <w:rFonts w:ascii="Times New Roman;serif" w:hAnsi="Times New Roman;serif"/>
          <w:b w:val="false"/>
          <w:color w:val="000000"/>
          <w:sz w:val="20"/>
        </w:rPr>
        <w:t>: Unadjusted quoted prices in active markets that are accessible at the measurement date for identical, unrestricted assets or liabilities;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u w:val="single"/>
        </w:rPr>
        <w:t>Level 2</w:t>
      </w:r>
      <w:r>
        <w:rPr>
          <w:rFonts w:ascii="Times New Roman;serif" w:hAnsi="Times New Roman;serif"/>
          <w:b w:val="false"/>
          <w:color w:val="000000"/>
          <w:sz w:val="20"/>
        </w:rPr>
        <w:t>: Quoted prices in markets that are not considered to be active or for which all significant inputs are observable, either directly or indirectly;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u w:val="single"/>
        </w:rPr>
        <w:t>Level 3</w:t>
      </w:r>
      <w:r>
        <w:rPr>
          <w:rFonts w:ascii="Times New Roman;serif" w:hAnsi="Times New Roman;serif"/>
          <w:b w:val="false"/>
          <w:color w:val="000000"/>
          <w:sz w:val="20"/>
        </w:rPr>
        <w:t>: Prices or valuations that require inputs that are both significant to the fair value measurement and unobservable.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pPr>
      <w:r>
        <w:rPr>
          <w:rFonts w:ascii="Times New Roman;serif" w:hAnsi="Times New Roman;serif"/>
          <w:b w:val="false"/>
          <w:color w:val="000000"/>
          <w:sz w:val="20"/>
        </w:rPr>
        <w:t xml:space="preserve">In December 2025, the Financial Accounting Standards Board (“FASB”) issued Accounting Standards Update (“ASU”)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(“ASU 2025-11”), which clarifies interim disclosure requirements and the applicability of Topic 270. The amendments in this ASU result in a comprehensive list of interim disclosures that are required by GAAP and include a disclosure principle that requires entities to disclose events since the end of the last annual reporting period that had a material impact on the entity. ASU 2025-11 also clarifies the types of interim reporting and the form and content of interim financial statements prepared in accordance with GAAP. ASU 2025-11 is effective for the Company’s interim reporting periods beginning on January 1, 2028. The guidance may be applied on a prospective or retrospective basis and early adoption is permitted. The Company is currently evaluating the impact of adopting ASU 2025-11 on its interim consolidated 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color w:val="000000"/>
        </w:rPr>
        <w:t xml:space="preserve"> </w:t>
      </w:r>
      <w:r>
        <w:rPr>
          <w:rFonts w:ascii="Times New Roman;serif" w:hAnsi="Times New Roman;serif"/>
          <w:b w:val="false"/>
          <w:color w:val="000000"/>
          <w:sz w:val="20"/>
        </w:rPr>
        <w:t>(“ASU 2025-07”). ASU 2025-07 adds a new scope exception to derivative accounting guidance for non-exchange traded contracts with underlyings based on operations or activities specific to one of the parties to the contract. However, this scope exception does not apply to (1) variables based on a market rate, market price or market index, (2) variables based on the price or performance (including default) of a financial asset or financial liability of one of the parties to the contract, (3) contracts (or features) involving the issuer’s own equity and (4) call and put options on debt instruments. The ASU also clarifies that an entity should apply the guidance from revenue from contracts with customers, including the non-cash consideration guidance therein, to a contract with share-based non-cash consideration from a customer for the transfer of goods or services unless and until the entity’s right to receive or retain the share-based non-cash consideration is unconditional. ASU 2025-07 is effective for the Company’s interim and annual reporting periods beginning on January 1, 2027. The guidance may be applied on a prospective or modified retrospective basis and early adoption is permitted. During the second quarter of 2026, the Company early adopted ASU 2025-07 on a prospective basis to new contracts entered into on or after January 1, 2026. The adoption of ASU 2025-07 did not have a material impact on the Company’s consolidated 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which amends certain aspects of the accounting for and disclosure of internal-use software development costs. To address that software is not always developed in a linear manner, ASU 2025-06 removes the previous references to project development stages and enhances the guidance on how to evaluate whether the probable-to-complete recognition threshold has been met. ASU 2025-06 is effective for the Company’s interim and annual reporting periods beginning on January 1, 2028. The guidance may be applied on a prospective, retrospective or modified prospective transition basis and early adoption is permitted. The Company is currently evaluating the impact of adopting ASU 2025-06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2025-05”). ASU 2025-05 introduces a practical expedient for measuring expected credit losses that permits entities to assume that current conditions as of the balance sheet date do not change for the remaining life of current accounts receivable and current contract assets arising from revenue from contracts with customers. On January 1, 2026, the Company adopted ASU 2025-05 on a prospective basis. The adoption of ASU 2025-05 did not have a material impact on the Company’s consolidated 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ASU 2024-03 requires the disaggregation of certain costs and expenses in the 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3.    Restricted Cash</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June 30, 2026 and December 31, 2025, cash in the amount of $1.0 million, has been segregated in the PAB reserve account, exceeding the requirements pursuant to SEC Rule 15c3-3.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are generally resolved within the same reporting period and are recorded as a reduction to revenue in the period the relevant trades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earns fees from an affiliate of LSEG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Significant judgments used in accounting for the Company’s market data agreement with LSEG include the following determinations: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provision of real-time market data feeds and historical data sets are distinct performance obligations.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performance obligations under this contract are recognized over time from the initial delivery of the data feeds until the end of the contract term or at a point in time upon delivery of each historical data set.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 also earns revenue for performing services as a Super Validator and Validator on the Canton Network, (collectively, “Validator Revenue”), included as a component of </w:t>
      </w:r>
      <w:r>
        <w:rPr>
          <w:rFonts w:ascii="Times New Roman;serif" w:hAnsi="Times New Roman;serif"/>
          <w:b w:val="false"/>
          <w:color w:val="000000"/>
          <w:sz w:val="20"/>
        </w:rPr>
        <w:t>other revenue on the condensed consolidated statements of income</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As a Super Validator and Validator, the Company verifies network transactions and contributes to the consensus mechanism of the network. For these services, the Company earns Canton Coins and the number of Canton Coins earned in a particular period is variable based on the Canton Network’s minting curve and burn-mint equilibrium, the amount of time that the Company’s nodes are active during any given minting cycle (with new rounds beginning at regular 10 minute intervals throughout each day) in comparison to other network participants, the network designated weight of each of the Company’s validators and, beginning in the second quarter of 2026, the Company’s elected tier within the long-term locking commitment framework for Super Validators. Since the Canton Network is not an entity, it may not meet the definition of a customer in accordance with ASC 606,</w:t>
      </w:r>
      <w:r>
        <w:rPr>
          <w:color w:val="000000"/>
        </w:rPr>
        <w:t xml:space="preserve">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w:t>
      </w:r>
      <w:r>
        <w:rPr>
          <w:rFonts w:ascii="Times New Roman;serif" w:hAnsi="Times New Roman;serif"/>
          <w:b w:val="false"/>
          <w:i/>
          <w:color w:val="000000"/>
          <w:sz w:val="20"/>
        </w:rPr>
        <w:t xml:space="preserve">. </w:t>
      </w:r>
      <w:r>
        <w:rPr>
          <w:rFonts w:ascii="Times New Roman;serif" w:hAnsi="Times New Roman;serif"/>
          <w:b w:val="false"/>
          <w:color w:val="000000"/>
          <w:sz w:val="20"/>
        </w:rPr>
        <w:t>As a result, the Company has determined that, in the absence of a contract with a customer, it applies ASC 606, ‘by analogy’ to its Validator Revenue, considering the Canton Network’s protocol as a contract-like arrangement. Each block creation or validation round is considered a separate performance obligation and the Validator Revenue is recognized at the point in time when the validation round is complete and the Canton Coins are transferred into the Company’s digital wallet at the end of the round. 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w:t>
      </w:r>
    </w:p>
    <w:p>
      <w:pPr>
        <w:pStyle w:val="TextBody"/>
        <w:bidi w:val="0"/>
        <w:spacing w:lineRule="auto" w:line="288" w:before="200" w:after="283"/>
        <w:jc w:val="left"/>
        <w:rPr/>
      </w:pPr>
      <w:r>
        <w:rPr>
          <w:rFonts w:ascii="Times New Roman;serif" w:hAnsi="Times New Roman;serif"/>
          <w:b w:val="false"/>
          <w:color w:val="000000"/>
          <w:sz w:val="20"/>
        </w:rPr>
        <w:t>Some revenues earned by the Company have fixed fee components, such as monthly minimums or fixed monthly fees, and variable components, such as transaction</w:t>
      </w:r>
      <w:r>
        <w:rPr>
          <w:rFonts w:ascii="Times New Roman;serif" w:hAnsi="Times New Roman;serif"/>
          <w:b/>
          <w:color w:val="000000"/>
          <w:sz w:val="20"/>
        </w:rPr>
        <w:t>-</w:t>
      </w:r>
      <w:r>
        <w:rPr>
          <w:rFonts w:ascii="Times New Roman;serif" w:hAnsi="Times New Roman;serif"/>
          <w:b w:val="false"/>
          <w:color w:val="000000"/>
          <w:sz w:val="20"/>
        </w:rPr>
        <w:t>based fees and commissions. The breakdown of revenues between fixed and variable revenues for the three and six months ended June 30, 2026 and 2025 is as follows:</w:t>
      </w:r>
    </w:p>
    <w:tbl>
      <w:tblPr>
        <w:tblW w:w="8817" w:type="dxa"/>
        <w:jc w:val="left"/>
        <w:tblInd w:w="0" w:type="dxa"/>
        <w:tblLayout w:type="fixed"/>
        <w:tblCellMar>
          <w:top w:w="28" w:type="dxa"/>
          <w:left w:w="28" w:type="dxa"/>
          <w:bottom w:w="28" w:type="dxa"/>
          <w:right w:w="28" w:type="dxa"/>
        </w:tblCellMar>
      </w:tblPr>
      <w:tblGrid>
        <w:gridCol w:w="1043"/>
        <w:gridCol w:w="915"/>
        <w:gridCol w:w="92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fees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LSEG market data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Amounts include Validator Revenue totaling $1.7 million and $1.8 million for the three months ended June 30, 2026 and 2025, respectively. The Company applies ASC 606 by analogy to its Validator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tbl>
      <w:tblPr>
        <w:tblW w:w="8817" w:type="dxa"/>
        <w:jc w:val="left"/>
        <w:tblInd w:w="0" w:type="dxa"/>
        <w:tblLayout w:type="fixed"/>
        <w:tblCellMar>
          <w:top w:w="28" w:type="dxa"/>
          <w:left w:w="28" w:type="dxa"/>
          <w:bottom w:w="28" w:type="dxa"/>
          <w:right w:w="28" w:type="dxa"/>
        </w:tblCellMar>
      </w:tblPr>
      <w:tblGrid>
        <w:gridCol w:w="1043"/>
        <w:gridCol w:w="915"/>
        <w:gridCol w:w="92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fees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LSEG market data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Amounts include Validator Revenue totaling $5.4 million and $2.1 million for the six months ended June 30, 2026 and 2025, respectively. The Company applies ASC 606 by analogy to its Validator Revenue.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Fees received by the Company which are not yet earned are included in deferred revenue on the condensed consolidated statements of financial condition until the revenue recognition criteria have been met. The revenue recognized and the remaining deferred revenue balances are shown below: </w:t>
      </w:r>
    </w:p>
    <w:tbl>
      <w:tblPr>
        <w:tblW w:w="6101" w:type="dxa"/>
        <w:jc w:val="left"/>
        <w:tblInd w:w="0" w:type="dxa"/>
        <w:tblLayout w:type="fixed"/>
        <w:tblCellMar>
          <w:top w:w="28" w:type="dxa"/>
          <w:left w:w="28" w:type="dxa"/>
          <w:bottom w:w="28" w:type="dxa"/>
          <w:right w:w="28" w:type="dxa"/>
        </w:tblCellMar>
      </w:tblPr>
      <w:tblGrid>
        <w:gridCol w:w="1472"/>
        <w:gridCol w:w="1294"/>
        <w:gridCol w:w="1299"/>
        <w:gridCol w:w="109"/>
        <w:gridCol w:w="109"/>
        <w:gridCol w:w="109"/>
        <w:gridCol w:w="332"/>
        <w:gridCol w:w="1135"/>
        <w:gridCol w:w="242"/>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133,936 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into revenue $22.1 million in deferred revenue that was deferred as of December 31, 2025. During the six months ended June 30, 2025, the Company recognized into revenue $25.6 million in deferred revenue that was deferred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Corporation is subject to U.S. federal, state and local income taxes with respect to its taxable income, including its allocable share of any taxable income of TWM LLC, and is taxed at prevailing corporate tax rates. The Company’s actual effective tax rate is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also varies from period to period depending on changes in the mix of earnings, tax legislation and tax rates in various jurisdictions. The Company’s provision for income taxes includes U.S., federal, state, local and foreign taxes.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months ended June 30, 2026 and 2025 was approximately 23.5% and 22.7%, respectively. The effective tax rate for the three months ended June 30, 2026 differed from the U.S. federal statutory rate of 21.0% primarily due to state, local and foreign taxes and the disallowance of compensation expense tax deductions, partially offset by the effect of non-controlling interests, the Foreign-Derived Deduction Eligible Income (“FDDEI”) deduction and benefits associated with purchasing transferable tax credits at a discount. The effective tax rate for the three months ended June 30, 2025 differed from the U.S. federal statutory rate of 21.0% primarily due to state, local and foreign taxes and the disallowance of compensation expense tax deductions, partially offset by the effect of non-controlling interests, the dividends received deduction and the FDDEI deduction.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six months ended June 30, 2026 and 2025 was approximately 23.3% and 23.4%, respectively. The effective tax rate for the six months ended June 30, 2026 differed from the U.S. federal statutory rate of 21.0% primarily due to state, local and foreign taxes and the disallowance of compensation expense tax deductions, partially offset by the effect of non-controlling interests, the FDDEI deduction and benefits associated with purchasing transferable tax credits at a discount. The effective tax rate for the six months ended June 30, 2025 differed from the U.S. federal statutory rate of 21.0% primarily due to state, local and foreign taxes and the disallowance of compensation expense tax deductions, partially offset by the effect of non-controlling interests, the dividends received deduction and the FDDEI deduction.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6 – Tax Receivable Agreement for further details. The tax benefit has been recognized in deferred tax assets on the condensed consolidated statements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6.    Tax Receivable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statements of income in the period in which the change occurs. As of June 30, 2026 and December 31, 2025, the tax receivable agreement liability on the condensed consolidated statements of financial condition totaled $317.5 million and $336.5 million, respectively. During each of the three and six months ended June 30, 2026 and 2025, no tax receivable agreement liability adjustment was recognized in the condensed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7.    Non-Controlling Interests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ownership interest in Tradeweb Markets LLC:</w:t>
      </w:r>
    </w:p>
    <w:tbl>
      <w:tblPr>
        <w:tblW w:w="10205" w:type="dxa"/>
        <w:jc w:val="left"/>
        <w:tblInd w:w="0" w:type="dxa"/>
        <w:tblLayout w:type="fixed"/>
        <w:tblCellMar>
          <w:top w:w="28" w:type="dxa"/>
          <w:left w:w="28" w:type="dxa"/>
          <w:bottom w:w="28" w:type="dxa"/>
          <w:right w:w="28" w:type="dxa"/>
        </w:tblCellMar>
      </w:tblPr>
      <w:tblGrid>
        <w:gridCol w:w="1463"/>
        <w:gridCol w:w="1147"/>
        <w:gridCol w:w="1156"/>
        <w:gridCol w:w="109"/>
        <w:gridCol w:w="109"/>
        <w:gridCol w:w="109"/>
        <w:gridCol w:w="593"/>
        <w:gridCol w:w="593"/>
        <w:gridCol w:w="241"/>
        <w:gridCol w:w="109"/>
        <w:gridCol w:w="109"/>
        <w:gridCol w:w="109"/>
        <w:gridCol w:w="307"/>
        <w:gridCol w:w="309"/>
        <w:gridCol w:w="492"/>
        <w:gridCol w:w="109"/>
        <w:gridCol w:w="109"/>
        <w:gridCol w:w="109"/>
        <w:gridCol w:w="593"/>
        <w:gridCol w:w="593"/>
        <w:gridCol w:w="241"/>
        <w:gridCol w:w="109"/>
        <w:gridCol w:w="109"/>
        <w:gridCol w:w="109"/>
        <w:gridCol w:w="307"/>
        <w:gridCol w:w="309"/>
        <w:gridCol w:w="553"/>
      </w:tblGrid>
      <w:tr>
        <w:trPr/>
        <w:tc>
          <w:tcPr>
            <w:tcW w:w="146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LLC</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LLC</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b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LLC Interests held by Tradeweb Markets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211,031,727 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213,345,171 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LLC Interests held by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23,056,868 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23,062,538 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LLC Interests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234,088,595 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236,407,709 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impact on Tradeweb Markets Inc.’s equity due to changes in the Corporation’s ownership interest in TWM LLC:</w:t>
      </w:r>
    </w:p>
    <w:tbl>
      <w:tblPr>
        <w:tblW w:w="10205" w:type="dxa"/>
        <w:jc w:val="left"/>
        <w:tblInd w:w="0" w:type="dxa"/>
        <w:tblLayout w:type="fixed"/>
        <w:tblCellMar>
          <w:top w:w="28" w:type="dxa"/>
          <w:left w:w="28" w:type="dxa"/>
          <w:bottom w:w="28" w:type="dxa"/>
          <w:right w:w="28" w:type="dxa"/>
        </w:tblCellMar>
      </w:tblPr>
      <w:tblGrid>
        <w:gridCol w:w="1582"/>
        <w:gridCol w:w="1341"/>
        <w:gridCol w:w="134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8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Tradeweb Markets Inc. and Transfers (to) from the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Tradeweb Markets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(to)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Increase/(decrease) in Tradeweb Markets Inc.’s additional paid-in capital as a result of ownership changes in TWM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attributable to Tradeweb Markets Inc. and transfers (to)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shd w:fill="FFFFFF" w:val="clear"/>
        </w:rPr>
        <w:t>8.    </w:t>
      </w:r>
      <w:r>
        <w:rPr>
          <w:rFonts w:ascii="Times New Roman;serif" w:hAnsi="Times New Roman;serif"/>
          <w:b/>
          <w:color w:val="000000"/>
          <w:sz w:val="20"/>
        </w:rPr>
        <w:t>Stockholders’ Equity and Stock-Based Compensation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rights and privileges of the Company’s stockholders’ equity and LLC Interests are described in the audited consolidated financial statements included in the Company’s Annual Report on Form 10-K for the year ended December 31, 2025 and there have been no changes to those rights and privileges during the six months ended June 30,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movement in the Company’s outstanding shares of common stock during the period:</w:t>
      </w:r>
    </w:p>
    <w:tbl>
      <w:tblPr>
        <w:tblW w:w="10205" w:type="dxa"/>
        <w:jc w:val="left"/>
        <w:tblInd w:w="0" w:type="dxa"/>
        <w:tblLayout w:type="fixed"/>
        <w:tblCellMar>
          <w:top w:w="28" w:type="dxa"/>
          <w:left w:w="28" w:type="dxa"/>
          <w:bottom w:w="28" w:type="dxa"/>
          <w:right w:w="28" w:type="dxa"/>
        </w:tblCellMar>
      </w:tblPr>
      <w:tblGrid>
        <w:gridCol w:w="778"/>
        <w:gridCol w:w="594"/>
        <w:gridCol w:w="598"/>
        <w:gridCol w:w="109"/>
        <w:gridCol w:w="109"/>
        <w:gridCol w:w="109"/>
        <w:gridCol w:w="593"/>
        <w:gridCol w:w="593"/>
        <w:gridCol w:w="216"/>
        <w:gridCol w:w="109"/>
        <w:gridCol w:w="109"/>
        <w:gridCol w:w="109"/>
        <w:gridCol w:w="540"/>
        <w:gridCol w:w="541"/>
        <w:gridCol w:w="211"/>
        <w:gridCol w:w="109"/>
        <w:gridCol w:w="109"/>
        <w:gridCol w:w="109"/>
        <w:gridCol w:w="540"/>
        <w:gridCol w:w="541"/>
        <w:gridCol w:w="216"/>
        <w:gridCol w:w="109"/>
        <w:gridCol w:w="109"/>
        <w:gridCol w:w="109"/>
        <w:gridCol w:w="488"/>
        <w:gridCol w:w="488"/>
        <w:gridCol w:w="216"/>
        <w:gridCol w:w="109"/>
        <w:gridCol w:w="109"/>
        <w:gridCol w:w="109"/>
        <w:gridCol w:w="593"/>
        <w:gridCol w:w="593"/>
        <w:gridCol w:w="231"/>
      </w:tblGrid>
      <w:tr>
        <w:trPr/>
        <w:tc>
          <w:tcPr>
            <w:tcW w:w="7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115,502,689 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96,933,192 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5,056,868 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235,492,749 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1,015,893 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 pursuant to share repurchase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(482,621)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(482,621)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116,035,961 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96,933,192 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5,056,868 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236,026,021 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 pursuant to share repurchase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(1,908,308)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114,140,240 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96,933,192 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5,056,868 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234,130,300 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4"/>
        <w:gridCol w:w="616"/>
        <w:gridCol w:w="620"/>
        <w:gridCol w:w="109"/>
        <w:gridCol w:w="109"/>
        <w:gridCol w:w="109"/>
        <w:gridCol w:w="593"/>
        <w:gridCol w:w="593"/>
        <w:gridCol w:w="216"/>
        <w:gridCol w:w="109"/>
        <w:gridCol w:w="109"/>
        <w:gridCol w:w="109"/>
        <w:gridCol w:w="540"/>
        <w:gridCol w:w="541"/>
        <w:gridCol w:w="211"/>
        <w:gridCol w:w="109"/>
        <w:gridCol w:w="109"/>
        <w:gridCol w:w="109"/>
        <w:gridCol w:w="540"/>
        <w:gridCol w:w="541"/>
        <w:gridCol w:w="216"/>
        <w:gridCol w:w="109"/>
        <w:gridCol w:w="109"/>
        <w:gridCol w:w="109"/>
        <w:gridCol w:w="488"/>
        <w:gridCol w:w="488"/>
        <w:gridCol w:w="216"/>
        <w:gridCol w:w="109"/>
        <w:gridCol w:w="109"/>
        <w:gridCol w:w="109"/>
        <w:gridCol w:w="593"/>
        <w:gridCol w:w="593"/>
        <w:gridCol w:w="231"/>
      </w:tblGrid>
      <w:tr>
        <w:trPr/>
        <w:tc>
          <w:tcPr>
            <w:tcW w:w="7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115,977,551 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96,933,192 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5,073,538 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235,984,281 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Activities related to exchanges of LLC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454,830 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116,439,381 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96,933,192 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5,066,538 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236,439,111 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Activities related to exchanges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116,453,684 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96,933,192 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5,062,538 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236,449,414 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(“RSUs”) and restricted stock awards (“RSAs”) with only time-based vesting conditions, performance-based restricted stock units with both time and performance-based vesting conditions, stock options and dividend equivalent rights. The Company refers to performance-based restricted stock units that vest based on the financial performance of the Company as “PRSUs” and performance-based restricted stock units that vest based on market conditions, such as total shareholder return, as “PSUs”. RSUs, PRSUs and PSUs each represent promises to issue actual shares of Class A common stock at the end of a vesting period. RSAs are issued shares of restricted Class A common stock that are released to an employee at the end of a vesting period. Stock options have a maximum contractual term of 10 years.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granted 13,295 RSUs at a weighted-average grant-date fair value per share of $111.98. No PRSUs or PSUs were granted during the three months ended June 30, 2026. During the six months ended June 30, 2026, the Company granted 469,654 RSUs, 230,632 PRSUs and 113,428 PSUs at a weighted-average grant-date fair value per share of $123.52, $124.42 and $175.62,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RSU awards granted to employees will generally vest one-third each year over a three-year period, RSU awards granted to non-employee directors will generally vest after one year and RSAs vest at the end of a two-year period.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2024 and thereafter, the financial performance of the Company will be determined based on the compound annual growth rate over a three-year performance period beginning on January 1 in the year of grant. For all PRSU awards granted, the performance modifier can vary between 0% (minimum) and 250% (maximum) of the target (100%) award amount.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PSUs granted in March 2026 and 2025 was estimated using the Monte Carlo simulation model and the significant valuation assumptions used in those models were as follows:</w:t>
      </w:r>
    </w:p>
    <w:tbl>
      <w:tblPr>
        <w:tblW w:w="6893" w:type="dxa"/>
        <w:jc w:val="left"/>
        <w:tblInd w:w="0" w:type="dxa"/>
        <w:tblLayout w:type="fixed"/>
        <w:tblCellMar>
          <w:top w:w="28" w:type="dxa"/>
          <w:left w:w="28" w:type="dxa"/>
          <w:bottom w:w="28" w:type="dxa"/>
          <w:right w:w="28" w:type="dxa"/>
        </w:tblCellMar>
      </w:tblPr>
      <w:tblGrid>
        <w:gridCol w:w="710"/>
        <w:gridCol w:w="626"/>
        <w:gridCol w:w="628"/>
        <w:gridCol w:w="109"/>
        <w:gridCol w:w="109"/>
        <w:gridCol w:w="109"/>
        <w:gridCol w:w="469"/>
        <w:gridCol w:w="469"/>
        <w:gridCol w:w="1177"/>
        <w:gridCol w:w="109"/>
        <w:gridCol w:w="109"/>
        <w:gridCol w:w="109"/>
        <w:gridCol w:w="438"/>
        <w:gridCol w:w="438"/>
        <w:gridCol w:w="128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March 15, 2026 PSU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March 17, 2025 PSU Grant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1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2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A summary of the Company</w:t>
      </w:r>
      <w:r>
        <w:rPr>
          <w:color w:val="000000"/>
        </w:rPr>
        <w:t>’</w:t>
      </w:r>
      <w:r>
        <w:rPr>
          <w:rFonts w:ascii="Times New Roman;serif" w:hAnsi="Times New Roman;serif"/>
          <w:b w:val="false"/>
          <w:color w:val="000000"/>
          <w:sz w:val="20"/>
          <w:shd w:fill="FFFFFF" w:val="clear"/>
        </w:rPr>
        <w:t>s total stock-based compensation expense is presented below:</w:t>
      </w:r>
    </w:p>
    <w:tbl>
      <w:tblPr>
        <w:tblW w:w="8966" w:type="dxa"/>
        <w:jc w:val="left"/>
        <w:tblInd w:w="0" w:type="dxa"/>
        <w:tblLayout w:type="fixed"/>
        <w:tblCellMar>
          <w:top w:w="28" w:type="dxa"/>
          <w:left w:w="28" w:type="dxa"/>
          <w:bottom w:w="28" w:type="dxa"/>
          <w:right w:w="28" w:type="dxa"/>
        </w:tblCellMar>
      </w:tblPr>
      <w:tblGrid>
        <w:gridCol w:w="1250"/>
        <w:gridCol w:w="1097"/>
        <w:gridCol w:w="110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stock-based compensation expense above excludes $1.0 million and $0.8 million of stock-based compensation expense capitalized to software development costs during the three months ended June 30, 2026 and 2025, respectively, and $1.8 million and $1.2 million during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Share Repurchase Programs</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Company’s board of directors has authorized share repurchase programs from time to time, which authorize the repurchase of shares of the</w:t>
      </w:r>
      <w:r>
        <w:rPr>
          <w:color w:val="000000"/>
        </w:rPr>
        <w:t xml:space="preserve"> </w:t>
      </w:r>
      <w:r>
        <w:rPr>
          <w:rFonts w:ascii="Times New Roman;serif" w:hAnsi="Times New Roman;serif"/>
          <w:b w:val="false"/>
          <w:color w:val="000000"/>
          <w:sz w:val="20"/>
        </w:rPr>
        <w:t>Company’s Class A common stock to offset annual dilution from stock-based compensation plans, as well as to opportunistically repurchase the Company’s Class A common stock. Pursuant to these share repurchase programs, the Company may make repurchases in the open market, through privately negotiated transactions, through accelerated repurchase programs (including through the use of derivatives), pursuant to Rule 10b5-1 plans or through enhanced open-market repurchases (eOMR). Any share repurchases are conducted in compliance with applicable legal requirements and the manner, timing and amount of any repurchases are based on an evaluation of market conditions, stock price and other factors. The Company’s share repurchase programs do not require the Company to acquire a specific number of shares, have no termination date and may be suspended, amended or discontinued at any time. The excess of the repurchase price paid over the par value of the Class A common stock, including any excise tax payable on such share repurchase, is recorded as a reduction to retained earnings.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On December 5, 2022, the board of directors authorized a share repurchase program for the purchase of up to </w:t>
      </w:r>
      <w:r>
        <w:rPr>
          <w:rFonts w:ascii="Times New Roman;serif" w:hAnsi="Times New Roman;serif"/>
          <w:b w:val="false"/>
          <w:color w:val="000000"/>
          <w:sz w:val="20"/>
        </w:rPr>
        <w:t>$300.0 million of the Company’s Class A common stock (the “2022 Share Repurchase Program”), after completing in October 2022, the $150.0 million of total repurchases of the Company’s Class A common stock authorized under its previous share repurchase program. During the three and six months ended June 30, 2026, the Company acquired a total of 223,407 and 706,028 shares, respectively, of Class A common stock at an average price of $104.01 and $104.76, respectively, for purchases totaling $23.2 million and $74.0 million, respectively, pursuant to the 2022 Share Repurchase Program. As of June 30, 2026, no shares remained available for repurchase pursuant to the 2022 Share Repurchase Program.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5, 2026, the board of directors authorized a new share repurchase program for the purchase of up to $500.0 million of the Company’s Class A common stock (the “2026 Share Repurchase Program”), which became available once the 2022 Share Repurchase Program was exhausted. During both the three and six months ended June 30, 2026, the Company acquired a total of 1,684,901 shares of Class A common stock at an average price of $98.35, for purchases totaling $165.7 million, pursuant to the 2026 Share Repurchase Program. As of June 30, 2026, a total of $334.3 million remained available for repurchase pursuant to the 2026 Share Repurchase Program.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both the three and six months ended June 30, 2026, the Company incurred $1.4 million in excise tax associated with share repurchases during the period. There were no share repurchases during the three or six months ended June 30,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Share Repurchases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withheld 1,499 and 309 shares, respectively, of Class A common stock from employee stock option, PRSU, PSU and RSU awards, at an average price per share of $100.34 and $141.55, respectively, and an aggregate value of approximately $150,000 and $44,000, respectively, based on the price of the Class A common stock on the date the relevant withholding occurred. During the six months ended June 30, 2026 and 2025, the Company withheld 766,629 and 346,528 shares, respectively, of Class A common stock from employee stock option, PRSU, PSU and RSU awards, at an average price per share of $111.04 and $137.46, respectively, and an aggregate value of $85.1 million and $47.6 million, respectively, based on the price of the Class A common stock on the date the relevant withholding occurred. These shares are withheld in order for the Company to cover the employee payroll tax withholding obligations upon the exercise of stock options and settlement of PRSUs, PSUs and RSUs and such shares were not withheld in connection with the share repurchase programs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Related Party Transactions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transactions with its related parties which are considered to be related party transactions. As of June 30, 2026 and December 31, 2025, the following balances relating to transactions with such related parties were included in the condensed consolidated statements of financial condition in the following line items:</w:t>
      </w:r>
    </w:p>
    <w:tbl>
      <w:tblPr>
        <w:tblW w:w="5959" w:type="dxa"/>
        <w:jc w:val="left"/>
        <w:tblInd w:w="0" w:type="dxa"/>
        <w:tblLayout w:type="fixed"/>
        <w:tblCellMar>
          <w:top w:w="28" w:type="dxa"/>
          <w:left w:w="28" w:type="dxa"/>
          <w:bottom w:w="28" w:type="dxa"/>
          <w:right w:w="28" w:type="dxa"/>
        </w:tblCellMar>
      </w:tblPr>
      <w:tblGrid>
        <w:gridCol w:w="1206"/>
        <w:gridCol w:w="1060"/>
        <w:gridCol w:w="1063"/>
        <w:gridCol w:w="109"/>
        <w:gridCol w:w="109"/>
        <w:gridCol w:w="109"/>
        <w:gridCol w:w="265"/>
        <w:gridCol w:w="456"/>
        <w:gridCol w:w="115"/>
        <w:gridCol w:w="109"/>
        <w:gridCol w:w="109"/>
        <w:gridCol w:w="109"/>
        <w:gridCol w:w="331"/>
        <w:gridCol w:w="567"/>
        <w:gridCol w:w="242"/>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and 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and 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(1)As of June 30, 2026 and December 31, 2025, other assets included an equity method investment of $3.6 million and $4.5 million, respectively, representing a 50% equity interest in iAltA Capital Markets, LLC (“iAltA Capital”), in which an entity affiliated with a member of the Company’s board of directors is the other 50% investor (“iAltA Holdings”) and the Company’s director is also the Chief Executive Officer of both iAltA Capital and iAltA Holdings. As of June 30, 2026, other assets also included other equity investments totaling $40.2 million, through which the Company is able to exert significant influence over the investee’s operating and financial policies and are therefore also considered related parties.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amounts relating to transactions with such related parties were included in the condensed consolidated statements of income in the following line items:</w:t>
      </w:r>
    </w:p>
    <w:tbl>
      <w:tblPr>
        <w:tblW w:w="8062" w:type="dxa"/>
        <w:jc w:val="left"/>
        <w:tblInd w:w="0" w:type="dxa"/>
        <w:tblLayout w:type="fixed"/>
        <w:tblCellMar>
          <w:top w:w="28" w:type="dxa"/>
          <w:left w:w="28" w:type="dxa"/>
          <w:bottom w:w="28" w:type="dxa"/>
          <w:right w:w="28" w:type="dxa"/>
        </w:tblCellMar>
      </w:tblPr>
      <w:tblGrid>
        <w:gridCol w:w="1222"/>
        <w:gridCol w:w="1079"/>
        <w:gridCol w:w="1088"/>
        <w:gridCol w:w="109"/>
        <w:gridCol w:w="109"/>
        <w:gridCol w:w="109"/>
        <w:gridCol w:w="224"/>
        <w:gridCol w:w="497"/>
        <w:gridCol w:w="109"/>
        <w:gridCol w:w="109"/>
        <w:gridCol w:w="109"/>
        <w:gridCol w:w="109"/>
        <w:gridCol w:w="224"/>
        <w:gridCol w:w="497"/>
        <w:gridCol w:w="109"/>
        <w:gridCol w:w="109"/>
        <w:gridCol w:w="109"/>
        <w:gridCol w:w="109"/>
        <w:gridCol w:w="224"/>
        <w:gridCol w:w="497"/>
        <w:gridCol w:w="109"/>
        <w:gridCol w:w="109"/>
        <w:gridCol w:w="109"/>
        <w:gridCol w:w="109"/>
        <w:gridCol w:w="224"/>
        <w:gridCol w:w="497"/>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thousands) </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LSEG market data fees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Expenses: </w:t>
            </w:r>
            <w:r>
              <w:rPr>
                <w:rFonts w:ascii="Times New Roman;serif" w:hAnsi="Times New Roman;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 and benefits</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income (loss), net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Company maintains a market data license agreement with an affiliate of LSEG. Under the agreement, the Company delivers to LSEG certain market data feeds which LSEG distributes to its customers. The Company earns license fees and royalties for these feeds.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Company maintains agreements with LSEG to provide the Company with certain market data, office space, finance, human resources and other administrative services.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Company maintains a shared services agreement with iAltA Capital, through which the Company receives a reimbursement for employee compensation and benefits costs incurred related to work performed by the Company’s employees on behalf of iAltA Capital.</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(4)Represents the Company’s estimated pro rata share of losses from its equity method investments in iAltA Capital (50% equity ownership) and MAXEX, LLC (“MAXEX”) (9% equity ownership).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above, the Company also periodically does business with certain entities with which its directors are affiliated. During the three and six months ended June 30, 2026 and 2025, such transactions have not had, and are not currently expected to have, a material impact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Fair Value of Financial Instruments and Other Assets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Financial Instruments and Other Assets Measured at Fair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and other assets measured at fair value on the condensed consolidated statements of financial condition as of June 30, 2026 and December 31, 2025 have been categorized based upon the fair value hierarchy as follows:</w:t>
      </w:r>
    </w:p>
    <w:tbl>
      <w:tblPr>
        <w:tblW w:w="10205" w:type="dxa"/>
        <w:jc w:val="left"/>
        <w:tblInd w:w="0" w:type="dxa"/>
        <w:tblLayout w:type="fixed"/>
        <w:tblCellMar>
          <w:top w:w="28" w:type="dxa"/>
          <w:left w:w="28" w:type="dxa"/>
          <w:bottom w:w="28" w:type="dxa"/>
          <w:right w:w="28" w:type="dxa"/>
        </w:tblCellMar>
      </w:tblPr>
      <w:tblGrid>
        <w:gridCol w:w="1127"/>
        <w:gridCol w:w="826"/>
        <w:gridCol w:w="719"/>
        <w:gridCol w:w="109"/>
        <w:gridCol w:w="109"/>
        <w:gridCol w:w="109"/>
        <w:gridCol w:w="329"/>
        <w:gridCol w:w="1527"/>
        <w:gridCol w:w="172"/>
        <w:gridCol w:w="109"/>
        <w:gridCol w:w="109"/>
        <w:gridCol w:w="109"/>
        <w:gridCol w:w="280"/>
        <w:gridCol w:w="958"/>
        <w:gridCol w:w="144"/>
        <w:gridCol w:w="109"/>
        <w:gridCol w:w="109"/>
        <w:gridCol w:w="109"/>
        <w:gridCol w:w="297"/>
        <w:gridCol w:w="1018"/>
        <w:gridCol w:w="154"/>
        <w:gridCol w:w="109"/>
        <w:gridCol w:w="109"/>
        <w:gridCol w:w="109"/>
        <w:gridCol w:w="211"/>
        <w:gridCol w:w="976"/>
        <w:gridCol w:w="159"/>
      </w:tblGrid>
      <w:tr>
        <w:trPr/>
        <w:tc>
          <w:tcPr>
            <w:tcW w:w="112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 funds and other highly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Investment in available for sale debt securities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Investment in equity securities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Digital assets </w:t>
            </w:r>
            <w:r>
              <w:rPr>
                <w:color w:val="000000"/>
              </w:rPr>
              <w:t xml:space="preserve">– </w:t>
            </w:r>
            <w:r>
              <w:rPr>
                <w:rFonts w:ascii="Times New Roman;serif" w:hAnsi="Times New Roman;serif"/>
                <w:b w:val="false"/>
                <w:color w:val="000000"/>
                <w:sz w:val="20"/>
              </w:rPr>
              <w:t xml:space="preserve">Canton Coins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Receivable and due from related parties </w:t>
            </w:r>
            <w:r>
              <w:rPr>
                <w:color w:val="000000"/>
              </w:rPr>
              <w:t xml:space="preserve">– </w:t>
            </w:r>
            <w:r>
              <w:rPr>
                <w:rFonts w:ascii="Times New Roman;serif" w:hAnsi="Times New Roman;serif"/>
                <w:b w:val="false"/>
                <w:color w:val="000000"/>
                <w:sz w:val="20"/>
              </w:rPr>
              <w:t>Foreign exchange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 funds and other highly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1,810,560 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1,810,560 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Investment in available for sale debt securities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Digital asset loan receivable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Digital assets </w:t>
            </w:r>
            <w:r>
              <w:rPr>
                <w:color w:val="000000"/>
              </w:rPr>
              <w:t xml:space="preserve">– </w:t>
            </w:r>
            <w:r>
              <w:rPr>
                <w:rFonts w:ascii="Times New Roman;serif" w:hAnsi="Times New Roman;serif"/>
                <w:b w:val="false"/>
                <w:color w:val="000000"/>
                <w:sz w:val="20"/>
              </w:rPr>
              <w:t xml:space="preserve">Canton Coins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2,053,289 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2,102,557 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and due to related parties – Foreign exchange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Included as a component of digital assets and other investments at fair value on the condensed consolidated statements of financial condition.</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Equivalents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cash equivalents are classified within Level 1 of the fair value hierarchy because they are valued using quoted market prices in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Investments in Available-for-Sale Debt Securities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 April 2024, the Company made a strategic investment in a convertible note with a principal amount and original amortized cost basis </w:t>
      </w:r>
      <w:r>
        <w:rPr>
          <w:rFonts w:ascii="Times New Roman;serif" w:hAnsi="Times New Roman;serif"/>
          <w:b w:val="false"/>
          <w:color w:val="000000"/>
          <w:sz w:val="20"/>
        </w:rPr>
        <w:t>of $10.0 million. The investment was made as part of the Company’s broader initiative to support the digitization of capital markets through the adoption of blockchain technology. The convertible note accrued interest at a rate of 5% per</w:t>
      </w:r>
      <w:r>
        <w:rPr>
          <w:color w:val="000000"/>
          <w:shd w:fill="FFFFFF" w:val="clear"/>
        </w:rPr>
        <w:t xml:space="preserve"> </w:t>
      </w:r>
      <w:r>
        <w:rPr>
          <w:rFonts w:ascii="Times New Roman;serif" w:hAnsi="Times New Roman;serif"/>
          <w:b w:val="false"/>
          <w:color w:val="000000"/>
          <w:sz w:val="20"/>
          <w:shd w:fill="FFFFFF" w:val="clear"/>
        </w:rPr>
        <w:t xml:space="preserve">annum, compounded annually, and was scheduled to mature on the earliest to occur of January 19, 2027, an event of default or a change in control as each term was defined in the convertible note. In the fourth quarter of 2025, the issuer announced that it entered into a definitive business combination agreement through which the issuer would become a publicly-listed company (the “Merger Transaction”), subject to customary closing conditions and regulatory approvals, at a $1.25 billion pre-money equity value, subject to customary valuation adjustments. The Merger Transaction closed on July </w:t>
      </w:r>
      <w:r>
        <w:rPr>
          <w:rFonts w:ascii="Times New Roman;serif" w:hAnsi="Times New Roman;serif"/>
          <w:b w:val="false"/>
          <w:color w:val="000000"/>
          <w:sz w:val="20"/>
        </w:rPr>
        <w:t>1</w:t>
      </w:r>
      <w:r>
        <w:rPr>
          <w:rFonts w:ascii="Times New Roman;serif" w:hAnsi="Times New Roman;serif"/>
          <w:b w:val="false"/>
          <w:color w:val="000000"/>
          <w:sz w:val="20"/>
          <w:shd w:fill="FFFFFF" w:val="clear"/>
        </w:rPr>
        <w:t xml:space="preserve">, 2026. The completion of the Merger Transaction on July </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 xml:space="preserve">2026, triggered the conversion of the convertible note and accrued interest, which resulted in the Company receiving </w:t>
      </w:r>
      <w:r>
        <w:rPr>
          <w:rFonts w:ascii="Times New Roman;serif" w:hAnsi="Times New Roman;serif"/>
          <w:b w:val="false"/>
          <w:color w:val="000000"/>
          <w:sz w:val="20"/>
        </w:rPr>
        <w:t>2.9 million s</w:t>
      </w:r>
      <w:r>
        <w:rPr>
          <w:rFonts w:ascii="Times New Roman;serif" w:hAnsi="Times New Roman;serif"/>
          <w:b w:val="false"/>
          <w:color w:val="000000"/>
          <w:sz w:val="20"/>
          <w:shd w:fill="FFFFFF" w:val="clear"/>
        </w:rPr>
        <w:t xml:space="preserve">hares of common stock in the post-merger public company Securitize Corp. (ticker symbol “SECZ”). The Company’s shares of SECZ common stock are subject to a lock-up agreement with certain restrictions on the Company’s ability to transfer, dispose or otherwise transact through December 2026, subject to certain exceptions.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Prior to conversion, and as of June 30, 2026, the convertible note was accounted for as an available-for-sale debt security and the convertible note and accrued interest was included within </w:t>
      </w:r>
      <w:r>
        <w:rPr>
          <w:rFonts w:ascii="Times New Roman;serif" w:hAnsi="Times New Roman;serif"/>
          <w:b w:val="false"/>
          <w:color w:val="000000"/>
          <w:sz w:val="20"/>
        </w:rPr>
        <w:t>digital assets and other investments at fair value</w:t>
      </w:r>
      <w:r>
        <w:rPr>
          <w:color w:val="000000"/>
          <w:shd w:fill="FFFFFF" w:val="clear"/>
        </w:rPr>
        <w:t xml:space="preserve"> </w:t>
      </w:r>
      <w:r>
        <w:rPr>
          <w:rFonts w:ascii="Times New Roman;serif" w:hAnsi="Times New Roman;serif"/>
          <w:b w:val="false"/>
          <w:color w:val="000000"/>
          <w:sz w:val="20"/>
          <w:shd w:fill="FFFFFF" w:val="clear"/>
        </w:rPr>
        <w:t>on the accompanying condensed consolidated statements of financial condition at a fair va</w:t>
      </w:r>
      <w:r>
        <w:rPr>
          <w:rFonts w:ascii="Times New Roman;serif" w:hAnsi="Times New Roman;serif"/>
          <w:b w:val="false"/>
          <w:color w:val="000000"/>
          <w:sz w:val="20"/>
        </w:rPr>
        <w:t>lue of $38.6 million and $24.9 million as o</w:t>
      </w:r>
      <w:r>
        <w:rPr>
          <w:rFonts w:ascii="Times New Roman;serif" w:hAnsi="Times New Roman;serif"/>
          <w:b w:val="false"/>
          <w:color w:val="000000"/>
          <w:sz w:val="20"/>
          <w:shd w:fill="FFFFFF" w:val="clear"/>
        </w:rPr>
        <w:t xml:space="preserve">f June 30, 2026 and </w:t>
      </w:r>
      <w:r>
        <w:rPr>
          <w:rFonts w:ascii="Times New Roman;serif" w:hAnsi="Times New Roman;serif"/>
          <w:b w:val="false"/>
          <w:color w:val="000000"/>
          <w:sz w:val="20"/>
        </w:rPr>
        <w:t>December 31, 2025, respectively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 convertible note, including accrued interest, had an amortized cost basis of $11.1 million and $10.9 million </w:t>
      </w:r>
      <w:r>
        <w:rPr>
          <w:rFonts w:ascii="Times New Roman;serif" w:hAnsi="Times New Roman;serif"/>
          <w:b w:val="false"/>
          <w:color w:val="000000"/>
          <w:sz w:val="20"/>
          <w:shd w:fill="FFFFFF" w:val="clear"/>
        </w:rPr>
        <w:t xml:space="preserve">as of June 30, 2026 and </w:t>
      </w:r>
      <w:r>
        <w:rPr>
          <w:rFonts w:ascii="Times New Roman;serif" w:hAnsi="Times New Roman;serif"/>
          <w:b w:val="false"/>
          <w:color w:val="000000"/>
          <w:sz w:val="20"/>
        </w:rPr>
        <w:t>December 31, 2025,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There were no credit losses recorded on the convertible note during the three or six months ended June 30, 2026 and 2025. During the three and six months ended June 30, 2026 and 2025, the Company recorded unrealized gains of $12.4 million, $0.4 million, $13.5 million and $3.5 million, respectively, </w:t>
      </w:r>
      <w:r>
        <w:rPr>
          <w:rFonts w:ascii="Times New Roman;serif" w:hAnsi="Times New Roman;serif"/>
          <w:b w:val="false"/>
          <w:color w:val="000000"/>
          <w:sz w:val="20"/>
          <w:shd w:fill="FFFFFF" w:val="clear"/>
        </w:rPr>
        <w:t>as a component of other comprehensive income related to an increase in fair value of the convertible note during the periods.</w:t>
      </w:r>
      <w:r>
        <w:rPr>
          <w:color w:val="000000"/>
        </w:rPr>
        <w:t xml:space="preserve"> </w:t>
      </w:r>
      <w:r>
        <w:rPr>
          <w:rFonts w:ascii="Times New Roman;serif" w:hAnsi="Times New Roman;serif"/>
          <w:b w:val="false"/>
          <w:color w:val="000000"/>
          <w:sz w:val="20"/>
        </w:rPr>
        <w:t xml:space="preserve">During the second quarter of 2026, </w:t>
      </w:r>
      <w:r>
        <w:rPr>
          <w:rFonts w:ascii="Times New Roman;serif" w:hAnsi="Times New Roman;serif"/>
          <w:b w:val="false"/>
          <w:color w:val="000000"/>
          <w:sz w:val="20"/>
          <w:shd w:fill="FFFFFF" w:val="clear"/>
        </w:rPr>
        <w:t>the convertible note was reclassified from Level 3 to Level 2 of the fair value hierarchy as the valuation as of June 30, 2026 was based primarily on observable inputs from a comparable security. Previously, the convertible note was valued based on a probability-weighted expected return model that required assumptions that were both significant and unobservable.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Canton Coins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The Canton Network’s Global Synchronizer includes a utility token, which is a digital asset called the Canton Coin. Beginning in the third quarter of 2024, the Company began earning and continues to earn Canton Coins for its function as a Super Validator and Validator on the Global Synchronizer, and then generally holds the Canton Coins on its balance sheet for investment purposes and may use Canton Coins to pay fees associated with its own Canton Network activity. During the second quarter of 2026, the Canton Network implemented a long-term locking and commitment framework for Super Validators (the “Locking Commitment”) designed to align Super Validator incentives with the long-term success of the Canton Network and create visible, on-chain commitment of the Super Validators to the Canton Network. To continue earning Canton Coins for its function as a Super Validator, the Locking Commitment requires Super Validators, including the Company, to lock a defined percentage of its aggregate lifetime Canton Coins earned for its function as a Super Validator (the “Lifetime Super Validator Coins”). Beginning in the second quarter of 2026, the amount of Super Validator weight assigned to the Company is based in part on the tiered percentage Locking Commitment elected by the Company. The Locking Commitment percentages step down over time and are scheduled to end in mid-2029. While Canton Coins are locked, they may not be transferred to third parties and once an election to unlock is made, 1/365 of the requested unlock amount becomes liquid each day (the “Canton Coin Lockup Restrictions”). As of June 30, 2026, the Company has elected Tier 1 of the Locking Commitment framework which allows it to retain 100% of its current Super Validator weight, and, as a result, 70% of its Lifetime Super Validator Coins are subject to the Canton Coin Lockup Restrictions.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the Company recognized $1.7 million, $1.8 million, $5.4 million and $2.1 million, respectively, in other revenue relating to Canton Coins earned in exchange for providing services as a Super Validator and Validator on the Canton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presents the Company’s Canton Coin holdings as of 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510"/>
        <w:gridCol w:w="447"/>
        <w:gridCol w:w="451"/>
        <w:gridCol w:w="456"/>
        <w:gridCol w:w="456"/>
        <w:gridCol w:w="458"/>
        <w:gridCol w:w="109"/>
        <w:gridCol w:w="109"/>
        <w:gridCol w:w="109"/>
        <w:gridCol w:w="211"/>
        <w:gridCol w:w="721"/>
        <w:gridCol w:w="109"/>
        <w:gridCol w:w="109"/>
        <w:gridCol w:w="109"/>
        <w:gridCol w:w="109"/>
        <w:gridCol w:w="211"/>
        <w:gridCol w:w="826"/>
        <w:gridCol w:w="109"/>
        <w:gridCol w:w="109"/>
        <w:gridCol w:w="109"/>
        <w:gridCol w:w="109"/>
        <w:gridCol w:w="456"/>
        <w:gridCol w:w="456"/>
        <w:gridCol w:w="458"/>
        <w:gridCol w:w="109"/>
        <w:gridCol w:w="109"/>
        <w:gridCol w:w="109"/>
        <w:gridCol w:w="211"/>
        <w:gridCol w:w="721"/>
        <w:gridCol w:w="109"/>
        <w:gridCol w:w="109"/>
        <w:gridCol w:w="109"/>
        <w:gridCol w:w="109"/>
        <w:gridCol w:w="211"/>
        <w:gridCol w:w="826"/>
        <w:gridCol w:w="157"/>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Quantity of Coins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Quantity of Coins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Canton Coins </w:t>
            </w:r>
            <w:r>
              <w:rPr>
                <w:rFonts w:ascii="Times New Roman;serif" w:hAnsi="Times New Roman;serif"/>
                <w:b w:val="false"/>
                <w:color w:val="000000"/>
                <w:sz w:val="13"/>
              </w:rPr>
              <w:t>(1)</w:t>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16"/>
          <w:shd w:fill="FFFFFF" w:val="clear"/>
        </w:rPr>
        <w:t xml:space="preserve">As of </w:t>
      </w:r>
      <w:r>
        <w:rPr>
          <w:rFonts w:ascii="Times New Roman;serif" w:hAnsi="Times New Roman;serif"/>
          <w:b w:val="false"/>
          <w:color w:val="000000"/>
          <w:sz w:val="16"/>
        </w:rPr>
        <w:t>June 30, 2026, the Company was restricted from transferring to third parties a total of 1.3 billion of its Canton Coins valued at $181.6 million</w:t>
      </w:r>
      <w:r>
        <w:rPr>
          <w:color w:val="000000"/>
          <w:shd w:fill="FFFFFF" w:val="clear"/>
        </w:rPr>
        <w:t xml:space="preserve"> </w:t>
      </w:r>
      <w:r>
        <w:rPr>
          <w:rFonts w:ascii="Times New Roman;serif" w:hAnsi="Times New Roman;serif"/>
          <w:b w:val="false"/>
          <w:color w:val="000000"/>
          <w:sz w:val="16"/>
          <w:shd w:fill="FFFFFF" w:val="clear"/>
        </w:rPr>
        <w:t>as a result of its election under the Canton Coin Lockup Restrictions described ab</w:t>
      </w:r>
      <w:r>
        <w:rPr>
          <w:rFonts w:ascii="Times New Roman;serif" w:hAnsi="Times New Roman;serif"/>
          <w:b w:val="false"/>
          <w:color w:val="000000"/>
          <w:sz w:val="16"/>
        </w:rPr>
        <w:t>ove, which could affect the Company’s ability to sell these assets, including during periods of price volatility or reduced liquidity. The Company had no restrictions on its ability to transfer any of its Canton Coins as of December 31, 2025.</w:t>
      </w:r>
    </w:p>
    <w:p>
      <w:pPr>
        <w:pStyle w:val="TextBody"/>
        <w:bidi w:val="0"/>
        <w:spacing w:lineRule="auto" w:line="288" w:before="200" w:after="283"/>
        <w:jc w:val="left"/>
        <w:rPr/>
      </w:pPr>
      <w:r>
        <w:rPr>
          <w:rFonts w:ascii="Times New Roman;serif" w:hAnsi="Times New Roman;serif"/>
          <w:b w:val="false"/>
          <w:color w:val="000000"/>
          <w:sz w:val="20"/>
        </w:rPr>
        <w:t xml:space="preserve">In November 2025, the Canton Coin began spot trading across several global digital asset exchanges and therefore its valuation was transferred from Level 3 to Level 1 of the fair value hierarchy as a result of the increase in observable pricing available from active markets. As of June 30, 2026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 the Company’s Canton Coin holdings were measured at fair value using quoted prices from the Company’s principal market for the sale of Canton Coins at the time of measurement.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the Company recognized an unrealized loss of $15.1 million, an unrealized gain of $18.1 million, an unrealized loss of $18.0 million and an unrealized gain of $22.3 million, respectively, related to changes in the fair value of Canton Coins included as a component of other income (loss), net on the condensed consolidated statements of income. There were no material realized gains or realized losses recorded on the disposition of Canton Coins during each of the three and six months ended June 30, 2026 and 2025.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Investment in Canton Strategic Holdings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exchanged approximately 161 million Canton Coins for 8.1 million pre-funded warrants (“PFWs”), which upon exercise, entitle the Company the right to receive an equivalent number of shares of common stock of Canton Strategic Holdings, Inc. (formerly known as Tharimmune, Inc.) (“CNTN”). The exercisability of the PFWs was contingent on the approval of CNTN’s shareholders and if shareholder approval was not obtained by May 13, 2026, the PFWs would have been terminated and the Company would have been entitled to the receipt of the 161 million Canton Coins originally pre-funded. On the date of the exchange, both the 161 million Canton Coins and the 8.1 million PFWs were valued at approximately $25.0 million.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Until the approval of CNTN’s shareholders was obtained, the PFWs were accounted for as a digital asset loan receivable. On the November 2025 date of exchange, the Company derecognized the 161 million Canton Coins, recognized a $24.9 million realized gain on the transfer of the Canton Coins during the fourth quarter of 2025 and recorded a $25.0 million digital asset loan receivable, included as a component of digital assets and other investments at fair value on the condensed consolidated statements of financial condition as of December 31, 2025. Until shareholder approval was obtained, the digital asset loan receivable was remeasured on a recurring basis to the fair market value of the Canton Coins, through an adjustment to unrealized gain/(loss), included as a component of other income (loss), net on the condensed consolidated statements of income. As of December 31, 2025, the digital asset loan receivable was classified within Level 2 of the fair value hierarchy. Its carrying value was determined based on the fair value of the Canton Coin, as adjusted for an allowance for credit loss. As of December 31, 2025, the fair value of the Canton Coin was an observable valuation input.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30, 2026, CNTN’s shareholders approved the issuance of the PFWs and the Company derecognized the digital asset loan receivable which had a carrying value as of December 31, 2025 totaling $24.4 million, including the reversal of the allowance for credit loss of $0.2 million and previously unrealized losses totaling $0.4 million, recorded a $39.8 million investment in the PFWs and recognized a $14.8 million realized gain, included as a component of other income (loss), net on the condensed consolidated statements of income.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both the three and six months ended June 30, 2026, the Company exercised 3.0 million of its PFWs into an equivalent number of shares of CNTN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the January 30, 2026 approval of CNTN’s shareholders, the PFWs and any shares of CNTN common stock held are both accounted for as an equity security with a readily determinable fair value and included as a component of digital assets and other investments at fair value on the condensed consolidated statements of financial condition. The publicly traded shares of CNTN common stock are classified within Level 1 of the fair value hierarchy while the PFWs are measured at fair value based on the quoted public share price of CNTN common stock and are therefore classified within Level 2 of the fair value hierarchy as of June 30, 2026. During the three and six months ended June 30, 2026, the Company recognized unrealized losses totaling $3.7 million and $16.8 million, respectively, related to changes in the fair value of the PFWs and shares of CNTN common stock, included as a component of other income (loss), net on the condensed consolidated statements of income.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PFWs are not able to be sold or transferred by the Company.</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Level 3 Roll Forward</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presents a summary of the changes in fair value for Level 3 assets during the </w:t>
      </w:r>
      <w:r>
        <w:rPr>
          <w:rFonts w:ascii="Times New Roman;serif" w:hAnsi="Times New Roman;serif"/>
          <w:b w:val="false"/>
          <w:color w:val="000000"/>
          <w:sz w:val="20"/>
        </w:rPr>
        <w:t>three and six months ended June 30, 2026 and 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768"/>
        <w:gridCol w:w="1455"/>
        <w:gridCol w:w="146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76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Investments in Available for 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Transfer out of Level 3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and unrealized gains included in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Digital Assets – Canton Coins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and unrealized gains included in other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(1)Transfers between levels of the fair value hierarchy occur when there are changes in the observability of significant valuation inputs and/or the significance of valuation inputs and are reported at the beginning of the reporting period in which they occur.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recognized unrealized gains relating to Level 3 assets held at June 30, 2025 totaling $18.1 million and $22.3 million, respectively, included as a component of other income (loss), net on the accompanying condensed consolidated statements of income and $0.4 million and $3.5 million, respectively, included as a component of other comprehensive income on the accompanying condensed consolidated statements of comprehensive income.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Foreign Exchange Derivative Contracts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 enters into </w:t>
      </w:r>
      <w:r>
        <w:rPr>
          <w:rFonts w:ascii="Times New Roman;serif" w:hAnsi="Times New Roman;serif"/>
          <w:b w:val="false"/>
          <w:color w:val="000000"/>
          <w:sz w:val="20"/>
        </w:rPr>
        <w:t>foreign currency forward contracts</w:t>
      </w:r>
      <w:r>
        <w:rPr>
          <w:color w:val="000000"/>
          <w:shd w:fill="FFFFFF" w:val="clear"/>
        </w:rPr>
        <w:t xml:space="preserve"> </w:t>
      </w:r>
      <w:r>
        <w:rPr>
          <w:rFonts w:ascii="Times New Roman;serif" w:hAnsi="Times New Roman;serif"/>
          <w:b w:val="false"/>
          <w:color w:val="000000"/>
          <w:sz w:val="20"/>
          <w:shd w:fill="FFFFFF" w:val="clear"/>
        </w:rPr>
        <w:t xml:space="preserve">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June 30, 2026 and December 31, 2025, the counterparty on each of these </w:t>
      </w:r>
      <w:r>
        <w:rPr>
          <w:rFonts w:ascii="Times New Roman;serif" w:hAnsi="Times New Roman;serif"/>
          <w:b w:val="false"/>
          <w:color w:val="000000"/>
          <w:sz w:val="20"/>
        </w:rPr>
        <w:t>foreign exchange derivative contracts</w:t>
      </w:r>
      <w:r>
        <w:rPr>
          <w:color w:val="000000"/>
          <w:shd w:fill="FFFFFF" w:val="clear"/>
        </w:rPr>
        <w:t xml:space="preserve"> </w:t>
      </w:r>
      <w:r>
        <w:rPr>
          <w:rFonts w:ascii="Times New Roman;serif" w:hAnsi="Times New Roman;serif"/>
          <w:b w:val="false"/>
          <w:color w:val="000000"/>
          <w:sz w:val="20"/>
          <w:shd w:fill="FFFFFF" w:val="clear"/>
        </w:rPr>
        <w:t xml:space="preserve">was an affiliate of LSEG and therefore the corresponding assets or liabilities on such contracts were included in </w:t>
      </w:r>
      <w:r>
        <w:rPr>
          <w:rFonts w:ascii="Times New Roman;serif" w:hAnsi="Times New Roman;serif"/>
          <w:b w:val="false"/>
          <w:color w:val="000000"/>
          <w:sz w:val="20"/>
        </w:rPr>
        <w:t xml:space="preserve">receivable and due from related parties or payable and due to related parties, respectively, on the accompanying condensed consolidated statements of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The following table summarizes the aggregate U.S. dollar equivalent notional amount of the Company</w:t>
      </w:r>
      <w:r>
        <w:rPr>
          <w:color w:val="000000"/>
        </w:rPr>
        <w:t>’</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foreign exchange derivative contracts</w:t>
      </w:r>
      <w:r>
        <w:rPr>
          <w:color w:val="000000"/>
          <w:shd w:fill="FFFFFF" w:val="clear"/>
        </w:rPr>
        <w:t xml:space="preserve"> </w:t>
      </w:r>
      <w:r>
        <w:rPr>
          <w:rFonts w:ascii="Times New Roman;serif" w:hAnsi="Times New Roman;serif"/>
          <w:b w:val="false"/>
          <w:color w:val="000000"/>
          <w:sz w:val="20"/>
          <w:shd w:fill="FFFFFF" w:val="clear"/>
        </w:rPr>
        <w:t>not designated as hedges for accounting purposes:</w:t>
      </w:r>
    </w:p>
    <w:tbl>
      <w:tblPr>
        <w:tblW w:w="7970" w:type="dxa"/>
        <w:jc w:val="left"/>
        <w:tblInd w:w="0" w:type="dxa"/>
        <w:tblLayout w:type="fixed"/>
        <w:tblCellMar>
          <w:top w:w="28" w:type="dxa"/>
          <w:left w:w="28" w:type="dxa"/>
          <w:bottom w:w="28" w:type="dxa"/>
          <w:right w:w="28" w:type="dxa"/>
        </w:tblCellMar>
      </w:tblPr>
      <w:tblGrid>
        <w:gridCol w:w="1803"/>
        <w:gridCol w:w="1582"/>
        <w:gridCol w:w="1594"/>
        <w:gridCol w:w="109"/>
        <w:gridCol w:w="109"/>
        <w:gridCol w:w="109"/>
        <w:gridCol w:w="211"/>
        <w:gridCol w:w="826"/>
        <w:gridCol w:w="109"/>
        <w:gridCol w:w="109"/>
        <w:gridCol w:w="109"/>
        <w:gridCol w:w="109"/>
        <w:gridCol w:w="211"/>
        <w:gridCol w:w="826"/>
        <w:gridCol w:w="154"/>
      </w:tblGrid>
      <w:tr>
        <w:trPr/>
        <w:tc>
          <w:tcPr>
            <w:tcW w:w="180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 Gross notional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Company’s </w:t>
      </w:r>
      <w:r>
        <w:rPr>
          <w:rFonts w:ascii="Times New Roman;serif" w:hAnsi="Times New Roman;serif"/>
          <w:b w:val="false"/>
          <w:color w:val="000000"/>
          <w:sz w:val="20"/>
        </w:rPr>
        <w:t>foreign exchange derivative contracts</w:t>
      </w:r>
      <w:r>
        <w:rPr>
          <w:color w:val="000000"/>
          <w:shd w:fill="FFFFFF" w:val="clear"/>
        </w:rPr>
        <w:t xml:space="preserve"> </w:t>
      </w:r>
      <w:r>
        <w:rPr>
          <w:rFonts w:ascii="Times New Roman;serif" w:hAnsi="Times New Roman;serif"/>
          <w:b w:val="false"/>
          <w:color w:val="000000"/>
          <w:sz w:val="20"/>
          <w:shd w:fill="FFFFFF" w:val="clear"/>
        </w:rPr>
        <w:t xml:space="preserve">are not designated as hedges for accounting purposes and changes in the fair value of these contracts during the period are recognized in the condensed consolidated statements of income. The total realized and unrealized gains (losses) on </w:t>
      </w:r>
      <w:r>
        <w:rPr>
          <w:rFonts w:ascii="Times New Roman;serif" w:hAnsi="Times New Roman;serif"/>
          <w:b w:val="false"/>
          <w:color w:val="000000"/>
          <w:sz w:val="20"/>
        </w:rPr>
        <w:t>foreign exchange derivative contracts</w:t>
      </w:r>
      <w:r>
        <w:rPr>
          <w:color w:val="000000"/>
          <w:shd w:fill="FFFFFF" w:val="clear"/>
        </w:rPr>
        <w:t xml:space="preserve"> </w:t>
      </w:r>
      <w:r>
        <w:rPr>
          <w:rFonts w:ascii="Times New Roman;serif" w:hAnsi="Times New Roman;serif"/>
          <w:b w:val="false"/>
          <w:color w:val="000000"/>
          <w:sz w:val="20"/>
          <w:shd w:fill="FFFFFF" w:val="clear"/>
        </w:rPr>
        <w:t xml:space="preserve">recorded within the condensed consolidated statements of income are as follows: </w:t>
      </w:r>
    </w:p>
    <w:tbl>
      <w:tblPr>
        <w:tblW w:w="10205" w:type="dxa"/>
        <w:jc w:val="left"/>
        <w:tblInd w:w="0" w:type="dxa"/>
        <w:tblLayout w:type="fixed"/>
        <w:tblCellMar>
          <w:top w:w="28" w:type="dxa"/>
          <w:left w:w="28" w:type="dxa"/>
          <w:bottom w:w="28" w:type="dxa"/>
          <w:right w:w="28" w:type="dxa"/>
        </w:tblCellMar>
      </w:tblPr>
      <w:tblGrid>
        <w:gridCol w:w="1711"/>
        <w:gridCol w:w="1502"/>
        <w:gridCol w:w="1506"/>
        <w:gridCol w:w="109"/>
        <w:gridCol w:w="109"/>
        <w:gridCol w:w="109"/>
        <w:gridCol w:w="211"/>
        <w:gridCol w:w="616"/>
        <w:gridCol w:w="109"/>
        <w:gridCol w:w="109"/>
        <w:gridCol w:w="109"/>
        <w:gridCol w:w="109"/>
        <w:gridCol w:w="211"/>
        <w:gridCol w:w="757"/>
        <w:gridCol w:w="109"/>
        <w:gridCol w:w="109"/>
        <w:gridCol w:w="109"/>
        <w:gridCol w:w="109"/>
        <w:gridCol w:w="211"/>
        <w:gridCol w:w="721"/>
        <w:gridCol w:w="109"/>
        <w:gridCol w:w="109"/>
        <w:gridCol w:w="109"/>
        <w:gridCol w:w="109"/>
        <w:gridCol w:w="211"/>
        <w:gridCol w:w="757"/>
        <w:gridCol w:w="156"/>
      </w:tblGrid>
      <w:tr>
        <w:trPr/>
        <w:tc>
          <w:tcPr>
            <w:tcW w:w="1711"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1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not designated in accounting hedge relationship – General and administrative (expenses)/income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Financial Instruments Not Measured at Fair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not measured at fair value on the condensed consolidated statements of financial condition as of June 30, 2026 and December 31, 2025 have been categorized based upon the fair value hierarchy as follows:</w:t>
      </w:r>
    </w:p>
    <w:tbl>
      <w:tblPr>
        <w:tblW w:w="10205" w:type="dxa"/>
        <w:jc w:val="left"/>
        <w:tblInd w:w="0" w:type="dxa"/>
        <w:tblLayout w:type="fixed"/>
        <w:tblCellMar>
          <w:top w:w="28" w:type="dxa"/>
          <w:left w:w="28" w:type="dxa"/>
          <w:bottom w:w="28" w:type="dxa"/>
          <w:right w:w="28" w:type="dxa"/>
        </w:tblCellMar>
      </w:tblPr>
      <w:tblGrid>
        <w:gridCol w:w="926"/>
        <w:gridCol w:w="535"/>
        <w:gridCol w:w="397"/>
        <w:gridCol w:w="109"/>
        <w:gridCol w:w="109"/>
        <w:gridCol w:w="109"/>
        <w:gridCol w:w="213"/>
        <w:gridCol w:w="837"/>
        <w:gridCol w:w="110"/>
        <w:gridCol w:w="109"/>
        <w:gridCol w:w="109"/>
        <w:gridCol w:w="109"/>
        <w:gridCol w:w="312"/>
        <w:gridCol w:w="1227"/>
        <w:gridCol w:w="162"/>
        <w:gridCol w:w="109"/>
        <w:gridCol w:w="109"/>
        <w:gridCol w:w="109"/>
        <w:gridCol w:w="244"/>
        <w:gridCol w:w="956"/>
        <w:gridCol w:w="126"/>
        <w:gridCol w:w="109"/>
        <w:gridCol w:w="109"/>
        <w:gridCol w:w="109"/>
        <w:gridCol w:w="293"/>
        <w:gridCol w:w="856"/>
        <w:gridCol w:w="151"/>
        <w:gridCol w:w="109"/>
        <w:gridCol w:w="109"/>
        <w:gridCol w:w="109"/>
        <w:gridCol w:w="215"/>
        <w:gridCol w:w="844"/>
        <w:gridCol w:w="166"/>
      </w:tblGrid>
      <w:tr>
        <w:trPr/>
        <w:tc>
          <w:tcPr>
            <w:tcW w:w="92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6"/>
              </w:rPr>
              <w:t>Significant Observable Inputs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brokers and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w:t>
            </w:r>
            <w:r>
              <w:rPr>
                <w:color w:val="000000"/>
              </w:rPr>
              <w:t xml:space="preserve">– </w:t>
            </w:r>
            <w:r>
              <w:rPr>
                <w:rFonts w:ascii="Times New Roman;serif" w:hAnsi="Times New Roman;serif"/>
                <w:b w:val="false"/>
                <w:color w:val="000000"/>
                <w:sz w:val="20"/>
              </w:rPr>
              <w:t>Memberships in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591,846 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267,718 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brokers and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4"/>
        <w:gridCol w:w="510"/>
        <w:gridCol w:w="513"/>
        <w:gridCol w:w="109"/>
        <w:gridCol w:w="109"/>
        <w:gridCol w:w="109"/>
        <w:gridCol w:w="213"/>
        <w:gridCol w:w="837"/>
        <w:gridCol w:w="110"/>
        <w:gridCol w:w="109"/>
        <w:gridCol w:w="109"/>
        <w:gridCol w:w="109"/>
        <w:gridCol w:w="312"/>
        <w:gridCol w:w="1227"/>
        <w:gridCol w:w="162"/>
        <w:gridCol w:w="109"/>
        <w:gridCol w:w="109"/>
        <w:gridCol w:w="109"/>
        <w:gridCol w:w="244"/>
        <w:gridCol w:w="956"/>
        <w:gridCol w:w="126"/>
        <w:gridCol w:w="109"/>
        <w:gridCol w:w="109"/>
        <w:gridCol w:w="109"/>
        <w:gridCol w:w="293"/>
        <w:gridCol w:w="856"/>
        <w:gridCol w:w="151"/>
        <w:gridCol w:w="109"/>
        <w:gridCol w:w="109"/>
        <w:gridCol w:w="109"/>
        <w:gridCol w:w="215"/>
        <w:gridCol w:w="844"/>
        <w:gridCol w:w="167"/>
      </w:tblGrid>
      <w:tr>
        <w:trPr/>
        <w:tc>
          <w:tcPr>
            <w:tcW w:w="83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6"/>
              </w:rPr>
              <w:t>Significant Observable Inputs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brokers and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w:t>
            </w:r>
            <w:r>
              <w:rPr>
                <w:color w:val="000000"/>
              </w:rPr>
              <w:t xml:space="preserve">– </w:t>
            </w:r>
            <w:r>
              <w:rPr>
                <w:rFonts w:ascii="Times New Roman;serif" w:hAnsi="Times New Roman;serif"/>
                <w:b w:val="false"/>
                <w:color w:val="000000"/>
                <w:sz w:val="20"/>
              </w:rPr>
              <w:t>Memberships in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333,461 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603,063 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brokers and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certain assets and liabilities at fair value on a non-recurring basis, such as assets acquired in a business combination, intangible assets, equity method investments and equity investments without readily determinable fair values for which the measurement alternative has been elected.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held equity method investments totaling $23.7 million and $4.5 million, respectively, included as a component of other assets on the condensed consolidated statements of financial condition. As of both June 30, 2026 and December 31, 2025, the Company also had $5.0 million in unfunded capital commitments related to its equity method investments. During the three and six months ended June 30, 2026, the Company recognized an equity pickup loss of $0.5 million and $0.9 million, respectively, included in other income (loss), net in the condensed consolidated statements of income, relating to its pro rata share of operating performance of its equity method investments. No income or loss from equity method investments was recognized during the three or six months ended June 30, 2025. There were no impairments recorded on equity method investments during the three or six months ended June 30, 2026 and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held minority equity investments in various companies without readily determinable fair values totaling $108.1 million and $44.8 million, respectively, included as a component of other assets on the condensed consolidated statements of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as of May 2026, the Company recorded unrealized gains totaling $26.6 million on its minority equity investments based on the price from observable transactions of similar investments of the same issuers. The unrealized gains are included in other income (loss) in the consolidated statements of income. There were no impairments on minority equity investments during the three or six months ended June 30, 2026. During the three and six months ended June 30, 2025, and as of June 30, 2025, the Company recorded an impairment totaling $5.4 million on a minority equity investment, as the investment’s carrying amount exceeded its fair value. The investment impairment is included in other income (loss) in the condensed consolidated statements of income. The investment’s fair value was determined using a discounted cash flow model, using primarily Level 3 inputs. Significant unobservable inputs included a discount rate of 25.0% and a perpetual growth rate of 3.0%. Cumulative impairments on minority equity investments held as of June 30, 2026 totaled $22.7 million. Cumulative unrealized gains on minority equity investments held as of June 30, 2026 totaled $30.9 million.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investments are subject to general contractual sale restrictions that may prohibit the transfer or sale of the investment without prior consent of the investee and/or other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Credit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self-clears wholesale U.S. Treasury trades executed on its platform by non-FICC members. The number of self-cleared trades that settle over the fed wire, instead of FICC clearing, may impact the number of U.S. Treasury failed settlement transactions. As of June 30, 2026, the Company recorded an $11.5 million receivable and a $7.6 million payable from/to brokers and dealers and clearing organizations related to failed settlement transactions and the Company self-funded the remaining $3.8 million difference between the fail to deliver and fail to receive. All of the failed settlement transactions outstanding as of June 30, 2026 were fully settled during July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Analysis of the financial condition of the Company’s counterparties is also performed.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Account balances are pooled based on the following risk characteristics: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Geographic location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Transaction fee type (billing type)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Legal entity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 allowance for credit losses is also recognized for any credit impairment of the Company’s digital asset loan receivable and available-for-sale debt securities. As of December 31, 2025, the Company maintained an allowance for credit loss with regards to its digital asset loan receivable totaling $0.2 million, based on a review of the credit risk of the counterparty and the characteristics of the arrangement. As further described in Note 10 – Fair Value of Financial Instruments and Other Assets, in January 2026, upon CNTN shareholder approval for the issuance of the PFWs, the digital asset loan receivable and the related allowance for credit loss were reversed, resulting in a reversal of credit loss expense totaling $0.2 million during the six months ended June 30, 2026. There was no allowance for credit losses recorded on available-for-sale debt securities as of June 30, 2026 and December 31, 2025 and there was no credit loss expense recognized during each of the three and six months ended June 30, 2026 and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Write-Offs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Once determined uncollectible, aged balances are written off against the allowance for credit losses. This determination is based on analysis of individual receivables and aging schedules, which are disaggregated based on the risk characteristics described above. Based on current policy, this generally occurs when the receivable is 360 days past due.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maintained an allowance for credit losses with regard to its receivables of $0.2 million and $0.6 million, respectively. During the three months ended June 30, 2026, recoveries resulted in a reversal of credit loss expense relating to receivables totaling $0.2 million and during the three months ended June 30, 2025, credit loss expense was $2,000. During the six months ended June 30, 2026 and 2025, recoveries resulted in a reversal of credit loss expense relating to receivables totaling $0.3 million and $0.2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could reasonably be expected to have a material adverse effect on its business, financial condition or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agreements with its clients which provide the clients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Although the Company was dismissed from a lawsuit relating to interest rate swaps in 2017, the claims brought by certain swap execution facilities against the remaining defendant financial institutions continue and could still be appealed as to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and therefore does not have any contingency reserves established for any of these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November 21, 2023, the Company entered into a five year, $500.0 million unsecured revolving credit facility (the “2023 Revolving Credit Facility”) with a syndicate of banks, which replaced its $500.0 million secured credit facility entered into on April 8, 2019.</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2023 Revolving Credit Facility bear interest at a rate equal to, at the Company’s option, either (a) a base rate equal to the greatest of (i) 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there were $0.5 million in letters of credit issued and no borrowings outstanding under the 2023 Revolving Credit Facility.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corporate offices and data centers with initial lease terms ranging from one to 16 years. The following table presents the future minimum lease payments and the maturity of lease liabilities as of June 30, 2026:</w:t>
      </w:r>
    </w:p>
    <w:tbl>
      <w:tblPr>
        <w:tblW w:w="4391" w:type="dxa"/>
        <w:jc w:val="left"/>
        <w:tblInd w:w="0" w:type="dxa"/>
        <w:tblLayout w:type="fixed"/>
        <w:tblCellMar>
          <w:top w:w="28" w:type="dxa"/>
          <w:left w:w="28" w:type="dxa"/>
          <w:bottom w:w="28" w:type="dxa"/>
          <w:right w:w="28" w:type="dxa"/>
        </w:tblCellMar>
      </w:tblPr>
      <w:tblGrid>
        <w:gridCol w:w="852"/>
        <w:gridCol w:w="748"/>
        <w:gridCol w:w="754"/>
        <w:gridCol w:w="109"/>
        <w:gridCol w:w="109"/>
        <w:gridCol w:w="109"/>
        <w:gridCol w:w="303"/>
        <w:gridCol w:w="1186"/>
        <w:gridCol w:w="221"/>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122,431 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205,829 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(55,492)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150,337 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13.    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calculations of basic and diluted earnings per share of Class A and Class B common stock for Tradeweb Markets Inc.:</w:t>
      </w:r>
    </w:p>
    <w:tbl>
      <w:tblPr>
        <w:tblW w:w="10205" w:type="dxa"/>
        <w:jc w:val="left"/>
        <w:tblInd w:w="0" w:type="dxa"/>
        <w:tblLayout w:type="fixed"/>
        <w:tblCellMar>
          <w:top w:w="28" w:type="dxa"/>
          <w:left w:w="28" w:type="dxa"/>
          <w:bottom w:w="28" w:type="dxa"/>
          <w:right w:w="28" w:type="dxa"/>
        </w:tblCellMar>
      </w:tblPr>
      <w:tblGrid>
        <w:gridCol w:w="1376"/>
        <w:gridCol w:w="1142"/>
        <w:gridCol w:w="1152"/>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6"/>
      </w:tblGrid>
      <w:tr>
        <w:trPr/>
        <w:tc>
          <w:tcPr>
            <w:tcW w:w="137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per share amounts)</w:t>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Tradeweb Markets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erif" w:hAnsi="Times New Roman;serif"/>
                <w:b w:val="false"/>
                <w:color w:val="000000"/>
                <w:sz w:val="20"/>
              </w:rPr>
              <w:t xml:space="preserve">Less: Distributed and undistributed earnings allocated to participating securities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outstanding shares of Class A and Class B common stock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and Class B common stock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212,463,597 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213,339,761 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212,573,754 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213,214,326 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RSUs and RSAs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and Class B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212,795,141 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214,971,946 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213,059,281 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214,934,378 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(1)During the three months ended June 30, 2026 and 2025, there was a total of 51,400 and 162,433, respectively, and during the six months ended June 30, 2026 and 2025, there was a total of 64,857 and 173,894, respectively, weighted average unvested or unsettled vested stock awards that were considered a participating security for purposes of calculating earnings per share in accordance with the two-class method.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tbl>
      <w:tblPr>
        <w:tblW w:w="8519" w:type="dxa"/>
        <w:jc w:val="left"/>
        <w:tblInd w:w="0" w:type="dxa"/>
        <w:tblLayout w:type="fixed"/>
        <w:tblCellMar>
          <w:top w:w="28" w:type="dxa"/>
          <w:left w:w="28" w:type="dxa"/>
          <w:bottom w:w="28" w:type="dxa"/>
          <w:right w:w="28" w:type="dxa"/>
        </w:tblCellMar>
      </w:tblPr>
      <w:tblGrid>
        <w:gridCol w:w="658"/>
        <w:gridCol w:w="577"/>
        <w:gridCol w:w="580"/>
        <w:gridCol w:w="109"/>
        <w:gridCol w:w="109"/>
        <w:gridCol w:w="109"/>
        <w:gridCol w:w="540"/>
        <w:gridCol w:w="541"/>
        <w:gridCol w:w="178"/>
        <w:gridCol w:w="178"/>
        <w:gridCol w:w="178"/>
        <w:gridCol w:w="178"/>
        <w:gridCol w:w="540"/>
        <w:gridCol w:w="541"/>
        <w:gridCol w:w="178"/>
        <w:gridCol w:w="109"/>
        <w:gridCol w:w="109"/>
        <w:gridCol w:w="109"/>
        <w:gridCol w:w="540"/>
        <w:gridCol w:w="541"/>
        <w:gridCol w:w="156"/>
        <w:gridCol w:w="154"/>
        <w:gridCol w:w="154"/>
        <w:gridCol w:w="154"/>
        <w:gridCol w:w="540"/>
        <w:gridCol w:w="541"/>
        <w:gridCol w:w="218"/>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118" w:type="dxa"/>
            <w:gridSpan w:val="18"/>
            <w:tcBorders/>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Anti-dilutive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RSAs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LLC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23,056,868 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23,063,153 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23,056,868 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23,066,571 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14.    Regulatory Capital Requirements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TWL, DW, TWD and ICDLC are subject to the Uniform Net Capital Rule 15c3-1 under the Exchange Act and certain of the Company's foreign subsidiaries are subject to financial resource requirements from their local regulators. At June 30, 2026 and December 31, 2025, the regulatory capital requirements and regulatory capital for these entities are as follows:</w:t>
      </w:r>
    </w:p>
    <w:tbl>
      <w:tblPr>
        <w:tblW w:w="10205" w:type="dxa"/>
        <w:jc w:val="left"/>
        <w:tblInd w:w="0" w:type="dxa"/>
        <w:tblLayout w:type="fixed"/>
        <w:tblCellMar>
          <w:top w:w="28" w:type="dxa"/>
          <w:left w:w="28" w:type="dxa"/>
          <w:bottom w:w="28" w:type="dxa"/>
          <w:right w:w="28" w:type="dxa"/>
        </w:tblCellMar>
      </w:tblPr>
      <w:tblGrid>
        <w:gridCol w:w="265"/>
        <w:gridCol w:w="231"/>
        <w:gridCol w:w="240"/>
        <w:gridCol w:w="109"/>
        <w:gridCol w:w="109"/>
        <w:gridCol w:w="109"/>
        <w:gridCol w:w="231"/>
        <w:gridCol w:w="790"/>
        <w:gridCol w:w="119"/>
        <w:gridCol w:w="109"/>
        <w:gridCol w:w="109"/>
        <w:gridCol w:w="109"/>
        <w:gridCol w:w="301"/>
        <w:gridCol w:w="882"/>
        <w:gridCol w:w="158"/>
        <w:gridCol w:w="109"/>
        <w:gridCol w:w="109"/>
        <w:gridCol w:w="109"/>
        <w:gridCol w:w="252"/>
        <w:gridCol w:w="864"/>
        <w:gridCol w:w="130"/>
        <w:gridCol w:w="109"/>
        <w:gridCol w:w="109"/>
        <w:gridCol w:w="109"/>
        <w:gridCol w:w="231"/>
        <w:gridCol w:w="790"/>
        <w:gridCol w:w="119"/>
        <w:gridCol w:w="109"/>
        <w:gridCol w:w="109"/>
        <w:gridCol w:w="109"/>
        <w:gridCol w:w="301"/>
        <w:gridCol w:w="882"/>
        <w:gridCol w:w="158"/>
        <w:gridCol w:w="109"/>
        <w:gridCol w:w="109"/>
        <w:gridCol w:w="109"/>
        <w:gridCol w:w="251"/>
        <w:gridCol w:w="858"/>
        <w:gridCol w:w="190"/>
      </w:tblGrid>
      <w:tr>
        <w:trPr/>
        <w:tc>
          <w:tcPr>
            <w:tcW w:w="2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TWL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257,195 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TWD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TWJ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TWEU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TESL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TESBV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TDIFC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ICDLC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ICDLT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TWSA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TAPL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SEFs, TW SEF and DW SEF are required to maintain adequate financial resources and liquid financial assets in accordance with CFTC regulations. The required and maintained financial resources and liquid financial assets at June 30, 2026 and December 31, 2025 are as follows:</w:t>
      </w:r>
    </w:p>
    <w:tbl>
      <w:tblPr>
        <w:tblW w:w="10205" w:type="dxa"/>
        <w:jc w:val="left"/>
        <w:tblInd w:w="0" w:type="dxa"/>
        <w:tblLayout w:type="fixed"/>
        <w:tblCellMar>
          <w:top w:w="28" w:type="dxa"/>
          <w:left w:w="28" w:type="dxa"/>
          <w:bottom w:w="28" w:type="dxa"/>
          <w:right w:w="28" w:type="dxa"/>
        </w:tblCellMar>
      </w:tblPr>
      <w:tblGrid>
        <w:gridCol w:w="289"/>
        <w:gridCol w:w="253"/>
        <w:gridCol w:w="255"/>
        <w:gridCol w:w="109"/>
        <w:gridCol w:w="109"/>
        <w:gridCol w:w="109"/>
        <w:gridCol w:w="232"/>
        <w:gridCol w:w="794"/>
        <w:gridCol w:w="120"/>
        <w:gridCol w:w="109"/>
        <w:gridCol w:w="109"/>
        <w:gridCol w:w="109"/>
        <w:gridCol w:w="262"/>
        <w:gridCol w:w="898"/>
        <w:gridCol w:w="135"/>
        <w:gridCol w:w="109"/>
        <w:gridCol w:w="109"/>
        <w:gridCol w:w="109"/>
        <w:gridCol w:w="254"/>
        <w:gridCol w:w="869"/>
        <w:gridCol w:w="131"/>
        <w:gridCol w:w="109"/>
        <w:gridCol w:w="109"/>
        <w:gridCol w:w="109"/>
        <w:gridCol w:w="232"/>
        <w:gridCol w:w="794"/>
        <w:gridCol w:w="120"/>
        <w:gridCol w:w="109"/>
        <w:gridCol w:w="109"/>
        <w:gridCol w:w="109"/>
        <w:gridCol w:w="262"/>
        <w:gridCol w:w="898"/>
        <w:gridCol w:w="135"/>
        <w:gridCol w:w="109"/>
        <w:gridCol w:w="109"/>
        <w:gridCol w:w="109"/>
        <w:gridCol w:w="252"/>
        <w:gridCol w:w="863"/>
        <w:gridCol w:w="195"/>
      </w:tblGrid>
      <w:tr>
        <w:trPr/>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Resources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Required Financial Resources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Excess Financial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Resources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Required Financial Resources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Excess Financial Resources</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TW SEF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50,063 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 SEF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2"/>
        <w:gridCol w:w="256"/>
        <w:gridCol w:w="258"/>
        <w:gridCol w:w="109"/>
        <w:gridCol w:w="109"/>
        <w:gridCol w:w="109"/>
        <w:gridCol w:w="239"/>
        <w:gridCol w:w="818"/>
        <w:gridCol w:w="123"/>
        <w:gridCol w:w="109"/>
        <w:gridCol w:w="109"/>
        <w:gridCol w:w="109"/>
        <w:gridCol w:w="278"/>
        <w:gridCol w:w="811"/>
        <w:gridCol w:w="143"/>
        <w:gridCol w:w="109"/>
        <w:gridCol w:w="109"/>
        <w:gridCol w:w="109"/>
        <w:gridCol w:w="259"/>
        <w:gridCol w:w="886"/>
        <w:gridCol w:w="133"/>
        <w:gridCol w:w="109"/>
        <w:gridCol w:w="109"/>
        <w:gridCol w:w="109"/>
        <w:gridCol w:w="239"/>
        <w:gridCol w:w="818"/>
        <w:gridCol w:w="123"/>
        <w:gridCol w:w="109"/>
        <w:gridCol w:w="109"/>
        <w:gridCol w:w="109"/>
        <w:gridCol w:w="278"/>
        <w:gridCol w:w="811"/>
        <w:gridCol w:w="143"/>
        <w:gridCol w:w="109"/>
        <w:gridCol w:w="109"/>
        <w:gridCol w:w="109"/>
        <w:gridCol w:w="257"/>
        <w:gridCol w:w="880"/>
        <w:gridCol w:w="198"/>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Liquid Financial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Required Liquid Financial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Excess Liquid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Liquid Financial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Required Liquid Financial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Excess Liquid Financial Assets</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TW SEF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DW SEF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15.    Business Segment and Geographic Information</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electronic marketplaces for the trading of products across the rates, credit, equities and money markets asset classes and provides related pre-trade and post-trade services. Through its electronic marketplaces, the Company facilitates trading by clients across the institutional, wholesale, retail and corporates client sectors and builds comprehensive market data sets that it is able to separately sell to clients, primarily LSEG, as incremental market data revenue. Because of the highly integrated nature of these marketplaces and services and the global financial markets in which the Company competes, the Chief Operating Decision Maker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 is the measure of segment profit most consistent with U.S. GAAP that is regularly reviewed by the CODM to allocate resources and assess performance. Significant expense categories included in consolidated net income that are regularly provided to the CODM include employee compensation and benefits, technology and communications, general and administrative, professional fees and occupancy, each as presented on the accompanying condensed consolidated statements of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Information regarding revenue from external clients by client sector, significant segment expenses and consolidated net income is as follows:</w:t>
      </w:r>
    </w:p>
    <w:tbl>
      <w:tblPr>
        <w:tblW w:w="9101" w:type="dxa"/>
        <w:jc w:val="left"/>
        <w:tblInd w:w="0" w:type="dxa"/>
        <w:tblLayout w:type="fixed"/>
        <w:tblCellMar>
          <w:top w:w="28" w:type="dxa"/>
          <w:left w:w="28" w:type="dxa"/>
          <w:bottom w:w="28" w:type="dxa"/>
          <w:right w:w="28" w:type="dxa"/>
        </w:tblCellMar>
      </w:tblPr>
      <w:tblGrid>
        <w:gridCol w:w="1144"/>
        <w:gridCol w:w="1001"/>
        <w:gridCol w:w="101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(1)Other segment items include depreciation and amortization, the tax receivable agreement liability adjustment (as applicable), interest income, interest expense, other (income) loss, net and provision for income taxes, each as presented on the accompanying condensed consolidated statements of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the Company’s clients’ worldwide businesses and contracts, the results by geographic region and allocation of revenues to individual countries are not necessarily meaningful in understanding the Company’s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accompanying condensed consolidated statements of financial condition as total consolidated assets. Total expenditures for additions to long-lived assets are as reported on the accompanying condensed consolidated statements of cash flows. Long-lived assets are attributed to the geographic area based on the location of the particular subsidiary.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revenue by geographic area:</w:t>
      </w:r>
    </w:p>
    <w:tbl>
      <w:tblPr>
        <w:tblW w:w="7482" w:type="dxa"/>
        <w:jc w:val="left"/>
        <w:tblInd w:w="0" w:type="dxa"/>
        <w:tblLayout w:type="fixed"/>
        <w:tblCellMar>
          <w:top w:w="28" w:type="dxa"/>
          <w:left w:w="28" w:type="dxa"/>
          <w:bottom w:w="28" w:type="dxa"/>
          <w:right w:w="28" w:type="dxa"/>
        </w:tblCellMar>
      </w:tblPr>
      <w:tblGrid>
        <w:gridCol w:w="451"/>
        <w:gridCol w:w="395"/>
        <w:gridCol w:w="39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thousands) </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the attribution of long-lived assets by geographic area:</w:t>
      </w:r>
    </w:p>
    <w:tbl>
      <w:tblPr>
        <w:tblW w:w="4865" w:type="dxa"/>
        <w:jc w:val="left"/>
        <w:tblInd w:w="0" w:type="dxa"/>
        <w:tblLayout w:type="fixed"/>
        <w:tblCellMar>
          <w:top w:w="28" w:type="dxa"/>
          <w:left w:w="28" w:type="dxa"/>
          <w:bottom w:w="28" w:type="dxa"/>
          <w:right w:w="28" w:type="dxa"/>
        </w:tblCellMar>
      </w:tblPr>
      <w:tblGrid>
        <w:gridCol w:w="571"/>
        <w:gridCol w:w="500"/>
        <w:gridCol w:w="503"/>
        <w:gridCol w:w="109"/>
        <w:gridCol w:w="109"/>
        <w:gridCol w:w="109"/>
        <w:gridCol w:w="211"/>
        <w:gridCol w:w="976"/>
        <w:gridCol w:w="109"/>
        <w:gridCol w:w="109"/>
        <w:gridCol w:w="109"/>
        <w:gridCol w:w="109"/>
        <w:gridCol w:w="211"/>
        <w:gridCol w:w="976"/>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4,769,680 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30, 2026, the board of directors of Tradeweb Markets Inc. declared a cash dividend of $0.14 per share of Class A common stock and Class B common stock for the third quarter of 2026. This dividend will be payable on September 15, 2026 to stockholders of record as of September 1,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30, 2026, Tradeweb Markets Inc., as the sole manager, approved a distribution by TWM LLC to its equityholders, including Tradeweb Markets Inc., in an aggregate amount of $41.3 million, as adjusted by required state and local tax withholdings that will be determined prior to the record date of September 1, 2026 payable on September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“Basis of Presentation,” “Use of Non-GAAP Financial Measures” and our unaudited condensed consolidated financial statements and related notes included elsewhere in this Quarterly Report on Form 10</w:t>
        <w:noBreakHyphen/>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noBreakHyphen/>
        <w:t xml:space="preserve">Q and the section titled “Item 1A. Risk Factors” in Part I of the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The Tradeweb platform includes marketplaces that facilitate trading global products across a range of asset classes, including rates, credit, equities and money markets. We are a global company serving clients through offices in North America, South America, Europe, Australia, Asia and the Middle East. We believe our proprietary technology and culture of collaborative innovation allow us to adapt our platform offerings to enter new markets, create new trading marketplaces and solutions and adjust to regulations quickly and efficiently. We support our clients by providing solutions across the trade lifecycle, including pre-trade, execution, post-trade and data and analytics.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institutional client sector serves institutional investors in over 85 countries around the globe and across over 30 currencies. We connect institutional investors with deep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our wholesale client sector, we provide a broad range of fully electronic, voice and hybrid trading options to dealers and financial institutions trading on our platform. We entered the wholesale client sector through our acquisitions of the inter-dealer broker Hilliard Farber &amp; Co., Inc. in 2008, and then Rafferty Capital Markets in 2011 and in June 2021, we acquired Nasdaq’s U.S. fixed income electronic trading platform (formerly known as eSpeed) (the “NFI Acquisition”). Today, we actively compete in wholesale trading across a range of rates, credit, money markets, derivatives and equity markets.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our retail client sector, our platform provides advanced trading solutions for financial advisory firms and traders. We entered the retail sector through our acquisition of LeverTrade in 2006 and scaled our retail market position through our acquisition of BondDesk in 2013. Through our platform we provide financial advisory firms access to live offerings, accurate pricing in the retail marketplace and fast execution.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corporates client sector through our acquisition of Institutional Cash Distributors (“ICD”) on August 1, 2024 (the “ICD Acquisition”). The addition of ICD to our platform broadened our product suite, further diversified our client and revenue bases and strengthened our position in the corporate treasury space, enabling us to provide a more comprehensive range of liquidity management tools and services.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 provides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 and electronic trading solutions will continue to grow.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Trends and Other Factors Impacting Our Performance</w:t>
      </w:r>
    </w:p>
    <w:p>
      <w:pPr>
        <w:pStyle w:val="TextBody"/>
        <w:bidi w:val="0"/>
        <w:spacing w:lineRule="auto" w:line="268" w:before="200" w:after="283"/>
        <w:jc w:val="left"/>
        <w:rPr>
          <w:rFonts w:ascii="Times New Roman;serif" w:hAnsi="Times New Roman;serif"/>
          <w:b/>
          <w:i/>
          <w:color w:val="000000"/>
          <w:sz w:val="20"/>
        </w:rPr>
      </w:pPr>
      <w:r>
        <w:rPr>
          <w:rFonts w:ascii="Times New Roman;serif" w:hAnsi="Times New Roman;serif"/>
          <w:b/>
          <w:i/>
          <w:color w:val="000000"/>
          <w:sz w:val="20"/>
        </w:rPr>
        <w:t xml:space="preserve">Strategic Acquisitions and Investments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evaluate potential strategic acquisitions and investments and engage in discussions and negotiations regarding potential acquisitions and investments. Our revenues and profitability are affected by our acquisition activity, including the speed and cost at which we successfully integrate completed consolidated acquisitions into our existing business operations. In addition, our earnings volatility and profitability may be affected by any unrealized or realized gains or losses or income or losses from our Canton Coin holdings or unconsolidated minority equity or debt investments. </w:t>
      </w:r>
    </w:p>
    <w:p>
      <w:pPr>
        <w:pStyle w:val="TextBody"/>
        <w:bidi w:val="0"/>
        <w:spacing w:lineRule="auto" w:line="26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Economic Environment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2026 include, among other things, evolving monetary policies of central banks, economic, political and social conditions, global geopolitical tensions, legislative, regulatory or government policy changes, including the recent and potential future changes in tariffs, international trade agreements or trade policies and other potential material changes to prior laws, rules and regulations, guidance and enforcement stances and concerns with respect to the banking industry, including as a result of any bank failures. </w:t>
      </w:r>
    </w:p>
    <w:p>
      <w:pPr>
        <w:pStyle w:val="TextBody"/>
        <w:bidi w:val="0"/>
        <w:spacing w:lineRule="auto" w:line="288" w:before="200" w:after="283"/>
        <w:jc w:val="left"/>
        <w:rPr/>
      </w:pPr>
      <w:r>
        <w:rPr>
          <w:rFonts w:ascii="Times New Roman;serif" w:hAnsi="Times New Roman;serif"/>
          <w:b w:val="false"/>
          <w:color w:val="000000"/>
          <w:sz w:val="20"/>
        </w:rPr>
        <w:t>Because the majority of our financial assets are short-term in nature, they are not signifi</w:t>
      </w:r>
      <w:r>
        <w:rPr>
          <w:rFonts w:ascii="Times New Roman;serif" w:hAnsi="Times New Roman;serif"/>
          <w:b w:val="false"/>
          <w:color w:val="000000"/>
          <w:sz w:val="20"/>
          <w:shd w:fill="FFFFFF" w:val="clear"/>
        </w:rPr>
        <w:t>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continues to result in elevated interest rates and has other adverse effects on the securities markets and the overall economy, it may adversely affect our results of operations and financial condition.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Regulatory Environment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typically resulting in enforcement of new laws and regulations that apply to our business. The regulatory environment in the United States and abroad may be subject to future legislative and regulatory changes driven by current U.S. and global issues and priorities. Legislative and regulatory changes may include the promulgation of new or revised laws and regulations, or the adoption of changes in the interpretation of or the repeal of existing laws and regulations, or the abandonment of any pending legislative or regulatory proposals. The impact of any changes in the legal or regulatory landscape on us and our operations generally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 and, as a result, our profitability. However, under certain circumstances regulation may increase demand for our platform and solutions, and we believe we are well positioned to benefit from any potential increased electronification due to regulatory changes as market participants seek platforms that meet regulatory requirements and solutions that help them comply with their regulatory obligations. Currently, we believe that uncertainty and potential delays around the final form of certain new rules and regulations may negatively impact our clients and trading volumes in certain markets in which we transact, although a relaxation of or the amendment of existing rules and regulations could potentially have a positive impact on certain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Competitive Environment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 Our ability to compete is influenced by key factors such as (i) developments in our trading platform and solutions, (ii) the liquidity we provide on transactions, (iii) the transaction costs we incur in providing our solutions, (iv) the efficiency in execution of transactions on our platform, (v) our ability to hire and retain talent, (vi) our ability to pursue strategic acquisitions and alliances and (vii) our ability to maintain the security of our platform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Technology and Cybersecurity Environment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its success are largely impacted by the introduction of increasingly complex and sophisticated technology systems and infrastructures and new business models. Offering specialized trading venues and solutions through the development of new and enhanced platform offerings is essential to maintaining our level of competitiveness in the market and attracting new clients seeking platforms that provide advanced automation and better liquidity. We believe we will continue to increase demand for our platform and solutions and the volume of transactions on our platform,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 and solutions to further enhance our market position.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Exchange Rate Environment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 for the change in revenue and operating income caused by fluctuations in foreign currency rates used in translation and realized and unrealized gains/losses from foreign currency remeasurement of transactions in nonfunctional currencies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Taxation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as of June 30, 2026 or December 31, 2025 or the Company’s condensed consolidated statements of income or cash flows for the three and six months ended June 30, 2026. The Company will continue to evaluate the implications of this legislation on future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condensed consolidated statements of financial condition as of June 30, 2026 or December 31, 2025 or the Company’s condensed consolidated statements of income or cash flows for the three and six months ended June 30, 2026 or 2025. The Company is subject to the current 15% CAMT, however, it did not have an impact on the Company’s effective tax rate for the three and six months ended June 30, 2026 or 2025. The IRA also has not had an impact to our non-GAAP adjusted effective tax rate used for purposes of calculating our non-GAAP measure of Adjusted Net Income for the three and six months ended June 30, 2026 or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condensed consolidated statements of financial condition as of June 30, 2026 or December 31, 2025 or the Company’s condensed consolidated statements of income or cash flows for the three and six months ended June 30, 2026 or 2025. The Company continues to monitor developments related to the G7’s discussions on global tax reform and is awaiting legislative updates.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revenue is derived primarily from transaction fees, commissions, subscription fees and market data fees.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Transaction Fees and Commissions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earn transaction fees and/or commissions from transactions executed on our trading platform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 The mix between fixed and variable revenue may change over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Subscription Fees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earn subscription fees primarily for granting clients access to our platform for trading and market data. For a limited number of products, we only charge subscription fees and no transaction fees or commissions. Subscription fees are generally charged on a fixed price basis.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TextBody"/>
        <w:bidi w:val="0"/>
        <w:spacing w:lineRule="auto" w:line="288" w:before="200" w:after="283"/>
        <w:jc w:val="left"/>
        <w:rPr/>
      </w:pPr>
      <w:r>
        <w:rPr>
          <w:rFonts w:ascii="Times New Roman;serif" w:hAnsi="Times New Roman;serif"/>
          <w:b w:val="false"/>
          <w:color w:val="000000"/>
          <w:sz w:val="20"/>
        </w:rPr>
        <w:t>In line with our digital asset strategy, currently included</w:t>
      </w:r>
      <w:r>
        <w:rPr>
          <w:color w:val="000000"/>
          <w:shd w:fill="FFFFFF" w:val="clear"/>
        </w:rPr>
        <w:t xml:space="preserve"> </w:t>
      </w:r>
      <w:r>
        <w:rPr>
          <w:rFonts w:ascii="Times New Roman;serif" w:hAnsi="Times New Roman;serif"/>
          <w:b w:val="false"/>
          <w:color w:val="000000"/>
          <w:sz w:val="20"/>
          <w:shd w:fill="FFFFFF" w:val="clear"/>
        </w:rPr>
        <w:t xml:space="preserve">in our other revenue is revenue earned for performing Super Validator and Validator services on the Canton Network </w:t>
      </w:r>
      <w:r>
        <w:rPr>
          <w:rFonts w:ascii="Times New Roman;serif" w:hAnsi="Times New Roman;serif"/>
          <w:b w:val="false"/>
          <w:color w:val="000000"/>
          <w:sz w:val="20"/>
        </w:rPr>
        <w:t>(collectively “Validator Revenue”)</w:t>
      </w:r>
      <w:r>
        <w:rPr>
          <w:rFonts w:ascii="Times New Roman;serif" w:hAnsi="Times New Roman;serif"/>
          <w:b w:val="false"/>
          <w:color w:val="000000"/>
          <w:sz w:val="20"/>
          <w:shd w:fill="FFFFFF" w:val="clear"/>
        </w:rPr>
        <w:t>. For these services, we earn Canton Coins and the number of Canton Coins earned in a particular period is variable based on the Canton Network’s minting curve and burn-mint equilibrium, the amount of time that our nodes are active during any given minting cycle (</w:t>
      </w:r>
      <w:r>
        <w:rPr>
          <w:rFonts w:ascii="Times New Roman;serif" w:hAnsi="Times New Roman;serif"/>
          <w:b w:val="false"/>
          <w:color w:val="000000"/>
          <w:sz w:val="20"/>
        </w:rPr>
        <w:t xml:space="preserve">with new rounds beginning </w:t>
      </w:r>
      <w:r>
        <w:rPr>
          <w:rFonts w:ascii="Times New Roman;serif" w:hAnsi="Times New Roman;serif"/>
          <w:b w:val="false"/>
          <w:color w:val="000000"/>
          <w:sz w:val="20"/>
          <w:shd w:fill="FFFFFF" w:val="clear"/>
        </w:rPr>
        <w:t xml:space="preserve">at regular 10 minute intervals throughout each day) in comparison to other network participants, the network designated weight of each of our validators and, beginning in the second quarter of 2026, our elected tier within the long-term locking commitment framework for Super Validators. </w:t>
      </w:r>
      <w:r>
        <w:rPr>
          <w:rFonts w:ascii="Times New Roman;serif" w:hAnsi="Times New Roman;serif"/>
          <w:b w:val="false"/>
          <w:color w:val="000000"/>
          <w:sz w:val="20"/>
        </w:rPr>
        <w:t>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 As our digital asset strategy continues to evolve, in the future, we may also begin earning revenue from applications developed on the Canton Network</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Employee Compensation and Benefits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consists of costs relating to the depreciation and amortization of acquired and internally developed software, other intangible assets, leasehold improvements, furniture and equipment.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Technology and Communications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Professional Fees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consist primarily of accounting, tax and legal fees and fees paid to technology and software consultants to maintain our platform and infrastructure, as well as costs related to business acquisition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Occupancy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Tax Receivable Agreement Liability Adjustment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tax receivable agreement liability adjustment reflects changes in the tax receivable agreement liability recorded in our condensed consolidated statements of financial condition as a result of changes in the mix of earnings, tax legislation and tax rates in various jurisdictions which impacted our estimated future tax savings. There was no tax receivable agreement liability adjustment during each of the three and six months ended June 30, 2026 and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earned from our cash deposited with large commercial banks and money market funds, as well as interest earned from our investments in available-for-sale debt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 (Loss), Net</w:t>
      </w:r>
    </w:p>
    <w:p>
      <w:pPr>
        <w:pStyle w:val="TextBody"/>
        <w:bidi w:val="0"/>
        <w:spacing w:lineRule="auto" w:line="288" w:before="200" w:after="283"/>
        <w:jc w:val="left"/>
        <w:rPr/>
      </w:pPr>
      <w:r>
        <w:rPr>
          <w:rFonts w:ascii="Times New Roman;serif" w:hAnsi="Times New Roman;serif"/>
          <w:b w:val="false"/>
          <w:color w:val="000000"/>
          <w:sz w:val="20"/>
        </w:rPr>
        <w:t xml:space="preserve">Other income (loss), net consists of any income or loss earned from investments, any mark-to-market adjustments or impairments recorded on investments, any unrealized and realized gain/loss on </w:t>
      </w:r>
      <w:r>
        <w:rPr>
          <w:rFonts w:ascii="Times New Roman;serif" w:hAnsi="Times New Roman;serif"/>
          <w:b w:val="false"/>
          <w:color w:val="000000"/>
          <w:sz w:val="20"/>
          <w:shd w:fill="FFFFFF" w:val="clear"/>
        </w:rPr>
        <w:t>foreign exchange derivative contracts</w:t>
      </w:r>
      <w:r>
        <w:rPr>
          <w:color w:val="000000"/>
        </w:rPr>
        <w:t xml:space="preserve"> </w:t>
      </w:r>
      <w:r>
        <w:rPr>
          <w:rFonts w:ascii="Times New Roman;serif" w:hAnsi="Times New Roman;serif"/>
          <w:b w:val="false"/>
          <w:color w:val="000000"/>
          <w:sz w:val="20"/>
        </w:rPr>
        <w:t xml:space="preserve">entered into for foreign exchange risk management purposes relating to investing activities and any other non-operating items. Other income (loss), net may vary period over period based on any changes in the fair value of the Canton Coin, which may be highly volatile.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 Attributable to Non-Controlling Interests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June 30, 2026, we owned 90.2% of TWM LLC and Continuing LLC Owners owned the remaining 9.8% of TWM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 the Three Months Ended June 30, 2026 and June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statements of income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637"/>
        <w:gridCol w:w="1401"/>
        <w:gridCol w:w="140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88"/>
        <w:gridCol w:w="291"/>
        <w:gridCol w:w="546"/>
      </w:tblGrid>
      <w:tr>
        <w:trPr/>
        <w:tc>
          <w:tcPr>
            <w:tcW w:w="163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Tradeweb Markets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revenues for the three months ended June 30, 2026 and 2025, and the resulting dollar and percentage changes, were as follows:</w:t>
      </w:r>
    </w:p>
    <w:tbl>
      <w:tblPr>
        <w:tblW w:w="10205" w:type="dxa"/>
        <w:jc w:val="left"/>
        <w:tblInd w:w="0" w:type="dxa"/>
        <w:tblLayout w:type="fixed"/>
        <w:tblCellMar>
          <w:top w:w="28" w:type="dxa"/>
          <w:left w:w="28" w:type="dxa"/>
          <w:bottom w:w="28" w:type="dxa"/>
          <w:right w:w="28" w:type="dxa"/>
        </w:tblCellMar>
      </w:tblPr>
      <w:tblGrid>
        <w:gridCol w:w="647"/>
        <w:gridCol w:w="568"/>
        <w:gridCol w:w="572"/>
        <w:gridCol w:w="109"/>
        <w:gridCol w:w="109"/>
        <w:gridCol w:w="109"/>
        <w:gridCol w:w="211"/>
        <w:gridCol w:w="826"/>
        <w:gridCol w:w="109"/>
        <w:gridCol w:w="109"/>
        <w:gridCol w:w="109"/>
        <w:gridCol w:w="109"/>
        <w:gridCol w:w="307"/>
        <w:gridCol w:w="309"/>
        <w:gridCol w:w="417"/>
        <w:gridCol w:w="109"/>
        <w:gridCol w:w="109"/>
        <w:gridCol w:w="109"/>
        <w:gridCol w:w="211"/>
        <w:gridCol w:w="826"/>
        <w:gridCol w:w="109"/>
        <w:gridCol w:w="109"/>
        <w:gridCol w:w="109"/>
        <w:gridCol w:w="109"/>
        <w:gridCol w:w="307"/>
        <w:gridCol w:w="309"/>
        <w:gridCol w:w="417"/>
        <w:gridCol w:w="109"/>
        <w:gridCol w:w="109"/>
        <w:gridCol w:w="109"/>
        <w:gridCol w:w="211"/>
        <w:gridCol w:w="721"/>
        <w:gridCol w:w="109"/>
        <w:gridCol w:w="109"/>
        <w:gridCol w:w="109"/>
        <w:gridCol w:w="109"/>
        <w:gridCol w:w="255"/>
        <w:gridCol w:w="256"/>
        <w:gridCol w:w="546"/>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fees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Subscription fees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total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Constant currency change</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(1)Subscription fees for the three months ended June 30, 2026 and 2025 include $26.5 million and $20.6 million, respectively, of LSEG market data fees.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strong second quarter 2026 results reflected broad-based momentum across our global business despite a more normalized market volatility backdrop. The primary driver of the $46.0 million increase in revenue was related to a $35.6 million increase in transaction fees and commissions to $465.3 million for the three months ended June 30, 2026 from $429.8 million for the three months ended June 30, 2025, primarily due to higher revenues for rates derivatives products, mortgages, U.S. and European corporate bonds, equity derivative products, international and U.S. exchange traded funds (“ ETFs”), as well as higher commissions on higher average daily balances of money market fund investments made through the ICD Portal.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total revenue by asset class for the three months ended June 30, 2026 and 2025, and the resulting dollar and percentage changes, were as follows:</w:t>
      </w:r>
    </w:p>
    <w:tbl>
      <w:tblPr>
        <w:tblW w:w="710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44"/>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variable and fixed revenues by asset class for the three months ended June 30, 2026 and 2025, and the resulting dollar and percentage changes, were as follows:</w:t>
      </w:r>
    </w:p>
    <w:tbl>
      <w:tblPr>
        <w:tblW w:w="11973"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62"/>
        <w:gridCol w:w="264"/>
        <w:gridCol w:w="408"/>
        <w:gridCol w:w="109"/>
        <w:gridCol w:w="109"/>
        <w:gridCol w:w="109"/>
        <w:gridCol w:w="254"/>
        <w:gridCol w:w="257"/>
        <w:gridCol w:w="330"/>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significant percentage of our transaction fees and commissions are tied directly to overall trading volumes in the rates, credit, equities and money markets asset classes. The average daily volumes and total volumes on our trading platform by asset class for the three months ended June 30, 2026 and 2025, and the resulting percentage changes, are summarized as follows:</w:t>
      </w:r>
    </w:p>
    <w:tbl>
      <w:tblPr>
        <w:tblW w:w="10205" w:type="dxa"/>
        <w:jc w:val="left"/>
        <w:tblInd w:w="0" w:type="dxa"/>
        <w:tblLayout w:type="fixed"/>
        <w:tblCellMar>
          <w:top w:w="28" w:type="dxa"/>
          <w:left w:w="28" w:type="dxa"/>
          <w:bottom w:w="28" w:type="dxa"/>
          <w:right w:w="28" w:type="dxa"/>
        </w:tblCellMar>
      </w:tblPr>
      <w:tblGrid>
        <w:gridCol w:w="679"/>
        <w:gridCol w:w="564"/>
        <w:gridCol w:w="573"/>
        <w:gridCol w:w="109"/>
        <w:gridCol w:w="109"/>
        <w:gridCol w:w="109"/>
        <w:gridCol w:w="211"/>
        <w:gridCol w:w="991"/>
        <w:gridCol w:w="109"/>
        <w:gridCol w:w="109"/>
        <w:gridCol w:w="109"/>
        <w:gridCol w:w="109"/>
        <w:gridCol w:w="211"/>
        <w:gridCol w:w="1201"/>
        <w:gridCol w:w="109"/>
        <w:gridCol w:w="109"/>
        <w:gridCol w:w="109"/>
        <w:gridCol w:w="109"/>
        <w:gridCol w:w="211"/>
        <w:gridCol w:w="991"/>
        <w:gridCol w:w="109"/>
        <w:gridCol w:w="109"/>
        <w:gridCol w:w="109"/>
        <w:gridCol w:w="109"/>
        <w:gridCol w:w="211"/>
        <w:gridCol w:w="1201"/>
        <w:gridCol w:w="109"/>
        <w:gridCol w:w="109"/>
        <w:gridCol w:w="109"/>
        <w:gridCol w:w="109"/>
        <w:gridCol w:w="263"/>
        <w:gridCol w:w="263"/>
        <w:gridCol w:w="564"/>
      </w:tblGrid>
      <w:tr>
        <w:trPr/>
        <w:tc>
          <w:tcPr>
            <w:tcW w:w="67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ADV </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1,775,972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110,008,842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1,443,050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89,495,255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Swaps / Swaptions Tenor (≥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39,447,851 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Rates Derivatives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42,749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2,646,460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2,334,432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Credit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Derivatives, China Bonds and U.S. Cash 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2,004,011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Money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1,161,469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79,538,143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71,669,216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3,012,513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194,197,456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2,548,311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165,206,907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excluding Other Rates Derivatives </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2,469,416</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160,562,559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2,155,280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140,821,296</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Swaps/Swaptions of tenor less than 1 year and Rates Futures.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“Cash Credit” category represents the “Credit” asset class excluding (1) Credit Derivatives (2) China Bonds and (3) U.S. High Grade and High Yield electronically processed (“EP”) activity.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(3)Included to contextualize the impact of short-tenored Swaps/Swaptions and Rates Futures on totals for all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average variable fees per million dollars of volume traded on our trading platform by asset class for the three months ended June 30, 2026 and 2025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tbl>
      <w:tblPr>
        <w:tblW w:w="9748" w:type="dxa"/>
        <w:jc w:val="left"/>
        <w:tblInd w:w="0" w:type="dxa"/>
        <w:tblLayout w:type="fixed"/>
        <w:tblCellMar>
          <w:top w:w="28" w:type="dxa"/>
          <w:left w:w="28" w:type="dxa"/>
          <w:bottom w:w="28" w:type="dxa"/>
          <w:right w:w="28" w:type="dxa"/>
        </w:tblCellMar>
      </w:tblPr>
      <w:tblGrid>
        <w:gridCol w:w="1518"/>
        <w:gridCol w:w="1330"/>
        <w:gridCol w:w="1352"/>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1"/>
        <w:gridCol w:w="294"/>
        <w:gridCol w:w="562"/>
      </w:tblGrid>
      <w:tr>
        <w:trPr/>
        <w:tc>
          <w:tcPr>
            <w:tcW w:w="15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 Derivatives (≥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Rates Derivatives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Credit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Derivatives, China Bonds and U.S. Cash 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Money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excluding Other Rates Derivatives </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Swaps/Swaptions of tenor less than 1 year and Rates Futures.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“Cash Credit” category represents the “Credit” asset class excluding (1) Credit Derivatives (2) China Bonds and (3) U.S. High Grade and High Yield electronically processed (“EP”) activity.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(3)Included to contextualize the impact of short-tenored Swaps/Swaptions and Rates Futures on blended fees per million across all periods presented.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key drivers of the change in total revenue, volumes and variable fees per million by asset class are summarized as follows: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u w:val="single"/>
        </w:rPr>
        <w:t>Rates</w:t>
      </w:r>
      <w:r>
        <w:rPr>
          <w:rFonts w:ascii="Times New Roman;serif" w:hAnsi="Times New Roman;serif"/>
          <w:b w:val="false"/>
          <w:color w:val="000000"/>
          <w:sz w:val="20"/>
        </w:rPr>
        <w:t xml:space="preserve">. Revenues from our rates asset class increased by $28.0 million or 10.2% to $302.5 million for the three months ended June 30, 2026 compared to $274.5 million for the three months ended June 30, 2025 primarily due to higher variable transaction fees and commissions on higher trading volumes for rates derivatives products, mortgages and other government bonds.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variable fees per million for rates decreased primarily due to a mix shift towards swaps and swaptions with tenors of less than one year, which have a lower variable fee capture compared to overall rates.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u w:val="single"/>
        </w:rPr>
        <w:t>Credit</w:t>
      </w:r>
      <w:r>
        <w:rPr>
          <w:rFonts w:ascii="Times New Roman;serif" w:hAnsi="Times New Roman;serif"/>
          <w:b w:val="false"/>
          <w:color w:val="000000"/>
          <w:sz w:val="20"/>
        </w:rPr>
        <w:t xml:space="preserve">. Revenues from our credit asset class increased by $4.1 million or 3.3% to $128.4 million for the three months ended June 30, 2026 compared to $124.3 million for the three months ended June 30, 2025 primarily due to higher variable transaction fees and commissions on higher trading volumes for U.S. and European corporate bonds and credit derivatives products, partially offset by lower trading volumes and revenues for municipal bonds.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Average variable fees per million for credit decreased primarily due to a mix shift away from municipal bonds, which have a higher variable fee capture compared to overall credit and towards credit derivatives, which have a lower variable fee capture compared to overall credit.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u w:val="single"/>
        </w:rPr>
        <w:t>Equities</w:t>
      </w:r>
      <w:r>
        <w:rPr>
          <w:rFonts w:ascii="Times New Roman;serif" w:hAnsi="Times New Roman;serif"/>
          <w:b w:val="false"/>
          <w:color w:val="000000"/>
          <w:sz w:val="20"/>
        </w:rPr>
        <w:t>. Revenues from our equities asset class increased by $4.6 million or 13.5% to $38.9 million for the three months ended June 30, 2026 compared to $34.3 million for the three months ended June 30, 2025 primarily due to higher variable transaction fees and commissions on higher trading volumes for equity derivative products and U.S. and international ETFs.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Average variable fees per million for equities decreased primarily due to a mix shift towards U.S. ETFs and away from international ETFs. U.S. ETFs have a lower variable fee capture compared to international ETFs.</w:t>
      </w:r>
    </w:p>
    <w:p>
      <w:pPr>
        <w:pStyle w:val="TextBody"/>
        <w:bidi w:val="0"/>
        <w:spacing w:lineRule="auto" w:line="288" w:before="200" w:after="283"/>
        <w:jc w:val="left"/>
        <w:rPr/>
      </w:pPr>
      <w:r>
        <w:rPr>
          <w:rFonts w:ascii="Times New Roman;serif" w:hAnsi="Times New Roman;serif"/>
          <w:b w:val="false"/>
          <w:color w:val="000000"/>
          <w:sz w:val="20"/>
          <w:u w:val="single"/>
        </w:rPr>
        <w:t>Money Markets</w:t>
      </w:r>
      <w:r>
        <w:rPr>
          <w:rFonts w:ascii="Times New Roman;serif" w:hAnsi="Times New Roman;serif"/>
          <w:b w:val="false"/>
          <w:color w:val="000000"/>
          <w:sz w:val="20"/>
        </w:rPr>
        <w:t>. Revenues from our money markets asset class increased by $2.3 million or 5.6% to $44.0 million for the three months ended June 30, 2026 compared to $41.6 million for the three months ended June 30, 2025 primarily due to higher variable transaction fees and commissions earned on higher average daily balances of money market fund investments made through the ICD Portal and higher trading volumes for repurchase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Average variable fees per million for money markets decreased primarily due to a mix shift away from certificates of deposit, which have a higher variable fee capture compared to overall money markets.</w:t>
      </w:r>
    </w:p>
    <w:p>
      <w:pPr>
        <w:pStyle w:val="TextBody"/>
        <w:bidi w:val="0"/>
        <w:spacing w:lineRule="auto" w:line="288" w:before="200" w:after="283"/>
        <w:jc w:val="left"/>
        <w:rPr/>
      </w:pPr>
      <w:r>
        <w:rPr>
          <w:rFonts w:ascii="Times New Roman;serif" w:hAnsi="Times New Roman;serif"/>
          <w:b w:val="false"/>
          <w:color w:val="000000"/>
          <w:sz w:val="20"/>
          <w:u w:val="single"/>
        </w:rPr>
        <w:t>Market Data</w:t>
      </w:r>
      <w:r>
        <w:rPr>
          <w:rFonts w:ascii="Times New Roman;serif" w:hAnsi="Times New Roman;serif"/>
          <w:b w:val="false"/>
          <w:color w:val="000000"/>
          <w:sz w:val="20"/>
        </w:rPr>
        <w:t xml:space="preserve">. Revenues from our market data asset class increased by $6.9 million or 22.6% to $37.3 million for the three months ended June 30, 2026 compared to $30.4 million for the three months ended June 30, 2025. The increase was primarily due to amendments to our LSEG market data license agreement which were effective in November 2025, as well as growth in our proprietary market data revenues. The amended market data license agreement included higher overall fees and a change in the timing of the delivery of periodic historical data sets, with more frequent deliveries scheduled under the amended agreement and a corresponding increase in revenue during the second quarter of 2026. </w:t>
      </w:r>
    </w:p>
    <w:p>
      <w:pPr>
        <w:pStyle w:val="TextBody"/>
        <w:bidi w:val="0"/>
        <w:spacing w:lineRule="auto" w:line="288" w:before="200" w:after="283"/>
        <w:jc w:val="left"/>
        <w:rPr/>
      </w:pPr>
      <w:r>
        <w:rPr>
          <w:rFonts w:ascii="Times New Roman;serif" w:hAnsi="Times New Roman;serif"/>
          <w:b w:val="false"/>
          <w:color w:val="000000"/>
          <w:sz w:val="20"/>
          <w:u w:val="single"/>
        </w:rPr>
        <w:t>Other</w:t>
      </w:r>
      <w:r>
        <w:rPr>
          <w:rFonts w:ascii="Times New Roman;serif" w:hAnsi="Times New Roman;serif"/>
          <w:b w:val="false"/>
          <w:color w:val="000000"/>
          <w:sz w:val="20"/>
        </w:rPr>
        <w:t>. Revenues from our other asset class remained relatively flat at $7.9 million for both the three months ended June 30, 2026 and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generate revenue from a diverse portfolio of client sectors. Our total revenue by client sector for the three months ended June 30, 2026 and 2025, and the resulting dollar and percentage changes, were as follows:</w:t>
      </w:r>
    </w:p>
    <w:tbl>
      <w:tblPr>
        <w:tblW w:w="7015" w:type="dxa"/>
        <w:jc w:val="left"/>
        <w:tblInd w:w="0" w:type="dxa"/>
        <w:tblLayout w:type="fixed"/>
        <w:tblCellMar>
          <w:top w:w="28" w:type="dxa"/>
          <w:left w:w="28" w:type="dxa"/>
          <w:bottom w:w="28" w:type="dxa"/>
          <w:right w:w="28" w:type="dxa"/>
        </w:tblCellMar>
      </w:tblPr>
      <w:tblGrid>
        <w:gridCol w:w="451"/>
        <w:gridCol w:w="395"/>
        <w:gridCol w:w="39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1"/>
        <w:gridCol w:w="294"/>
        <w:gridCol w:w="54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u w:val="single"/>
        </w:rPr>
        <w:t>Institutional</w:t>
      </w:r>
      <w:r>
        <w:rPr>
          <w:rFonts w:ascii="Times New Roman;serif" w:hAnsi="Times New Roman;serif"/>
          <w:b w:val="false"/>
          <w:color w:val="000000"/>
          <w:sz w:val="20"/>
        </w:rPr>
        <w:t>. Revenues from our institutional client sector increased by $33.4 million or 10.4% to $355.4 million for the three months ended June 30, 2026 compared to $321.9 million for the three months ended June 30, 2025. The increase was derived primarily from higher revenues for rates derivatives products, U.S., European and other government bonds, mortgages, U.S. and international ETFs and equity derivative products.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u w:val="single"/>
        </w:rPr>
        <w:t>Wholesale</w:t>
      </w:r>
      <w:r>
        <w:rPr>
          <w:rFonts w:ascii="Times New Roman;serif" w:hAnsi="Times New Roman;serif"/>
          <w:b w:val="false"/>
          <w:color w:val="000000"/>
          <w:sz w:val="20"/>
        </w:rPr>
        <w:t>. Revenues from our wholesale client sector increased by $8.4 million or 8.3% to $109.6 million for the three months ended June 30, 2026 compared to $101.2 million for the three months ended June 30, 2025. The increase was derived primarily from higher revenues for U.S. and European corporate bonds, mortgages and repurchase agreements.</w:t>
      </w:r>
    </w:p>
    <w:p>
      <w:pPr>
        <w:pStyle w:val="TextBody"/>
        <w:bidi w:val="0"/>
        <w:spacing w:lineRule="auto" w:line="288" w:before="200" w:after="283"/>
        <w:jc w:val="left"/>
        <w:rPr/>
      </w:pPr>
      <w:r>
        <w:rPr>
          <w:rFonts w:ascii="Times New Roman;serif" w:hAnsi="Times New Roman;serif"/>
          <w:b w:val="false"/>
          <w:color w:val="000000"/>
          <w:sz w:val="20"/>
          <w:u w:val="single"/>
        </w:rPr>
        <w:t>Retail</w:t>
      </w:r>
      <w:r>
        <w:rPr>
          <w:rFonts w:ascii="Times New Roman;serif" w:hAnsi="Times New Roman;serif"/>
          <w:b w:val="false"/>
          <w:color w:val="000000"/>
          <w:sz w:val="20"/>
        </w:rPr>
        <w:t>. Revenues from our retail client sector decreased by $4.5 million or 12.0% to $33.1 million for the three months ended June 30, 2026 compared to $37.6 million for the three months ended June 30, 2025. The decrease was derived primarily from lower revenues for municipals and U.S. corporate bonds.</w:t>
      </w:r>
    </w:p>
    <w:p>
      <w:pPr>
        <w:pStyle w:val="TextBody"/>
        <w:bidi w:val="0"/>
        <w:spacing w:lineRule="auto" w:line="288" w:before="200" w:after="283"/>
        <w:jc w:val="left"/>
        <w:rPr/>
      </w:pPr>
      <w:r>
        <w:rPr>
          <w:rFonts w:ascii="Times New Roman;serif" w:hAnsi="Times New Roman;serif"/>
          <w:b w:val="false"/>
          <w:color w:val="000000"/>
          <w:sz w:val="20"/>
          <w:u w:val="single"/>
        </w:rPr>
        <w:t>Corporates.</w:t>
      </w:r>
      <w:r>
        <w:rPr>
          <w:color w:val="000000"/>
        </w:rPr>
        <w:t xml:space="preserve"> </w:t>
      </w:r>
      <w:r>
        <w:rPr>
          <w:rFonts w:ascii="Times New Roman;serif" w:hAnsi="Times New Roman;serif"/>
          <w:b w:val="false"/>
          <w:color w:val="000000"/>
          <w:sz w:val="20"/>
        </w:rPr>
        <w:t>Revenues from our corporates client sector increased by $1.8 million or 8.5% to $23.6 million for the three months ended June 30, 2026 compared to $21.8 million for the three months ended June 30, 2025. The primary driver of the increase was higher commissions earned on higher average daily balances of money market fund investments made through the ICD Portal.</w:t>
      </w:r>
    </w:p>
    <w:p>
      <w:pPr>
        <w:pStyle w:val="TextBody"/>
        <w:bidi w:val="0"/>
        <w:spacing w:lineRule="auto" w:line="288" w:before="200" w:after="283"/>
        <w:jc w:val="left"/>
        <w:rPr/>
      </w:pPr>
      <w:r>
        <w:rPr>
          <w:rFonts w:ascii="Times New Roman;serif" w:hAnsi="Times New Roman;serif"/>
          <w:b w:val="false"/>
          <w:color w:val="000000"/>
          <w:sz w:val="20"/>
          <w:u w:val="single"/>
        </w:rPr>
        <w:t>Market Data</w:t>
      </w:r>
      <w:r>
        <w:rPr>
          <w:rFonts w:ascii="Times New Roman;serif" w:hAnsi="Times New Roman;serif"/>
          <w:b w:val="false"/>
          <w:color w:val="000000"/>
          <w:sz w:val="20"/>
        </w:rPr>
        <w:t xml:space="preserve">. Revenues from our market data client sector increased by $6.9 million or 22.6% to $37.3 million for the three months ended June 30, 2026 compared to $30.4 million for the three months ended June 30, 2025. The increase was primarily due to amendments to our LSEG market data license agreement which were effective in November 2025, as well as growth in our proprietary market data revenues. The amended market data license agreement included higher overall fees and a change in the timing of the delivery of periodic historical data sets, with more frequent deliveries scheduled under the amended agreement and a corresponding increase in revenue during the second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revenues and client base are also diversified by geography. Our total revenue by geography (based on client location) for the three months ended June 30, 2026 and 2025, and the resulting dollar and percentage changes, were as follows:</w:t>
      </w:r>
    </w:p>
    <w:tbl>
      <w:tblPr>
        <w:tblW w:w="6941" w:type="dxa"/>
        <w:jc w:val="left"/>
        <w:tblInd w:w="0" w:type="dxa"/>
        <w:tblLayout w:type="fixed"/>
        <w:tblCellMar>
          <w:top w:w="28" w:type="dxa"/>
          <w:left w:w="28" w:type="dxa"/>
          <w:bottom w:w="28" w:type="dxa"/>
          <w:right w:w="28" w:type="dxa"/>
        </w:tblCellMar>
      </w:tblPr>
      <w:tblGrid>
        <w:gridCol w:w="451"/>
        <w:gridCol w:w="395"/>
        <w:gridCol w:w="39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4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u w:val="single"/>
        </w:rPr>
        <w:t>U.S.</w:t>
      </w:r>
      <w:r>
        <w:rPr>
          <w:color w:val="000000"/>
        </w:rPr>
        <w:t xml:space="preserve"> </w:t>
      </w:r>
      <w:r>
        <w:rPr>
          <w:rFonts w:ascii="Times New Roman;serif" w:hAnsi="Times New Roman;serif"/>
          <w:b w:val="false"/>
          <w:color w:val="000000"/>
          <w:sz w:val="20"/>
        </w:rPr>
        <w:t>Revenues from U.S. clients increased by $16.1 million or 5.4% to $313.9 million for the three months ended June 30, 2026 compared to $297.8 million for the three months ended June 30, 2025 primarily due to higher revenues for LSEG market data fees, mortgages, U.S. government bonds, rates derivatives products, U.S. corporate bonds and higher commissions earned on higher average daily balances of money market fund investments made through the ICD Portal, partially offset by lower revenues for municipals.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u w:val="single"/>
        </w:rPr>
        <w:t>International</w:t>
      </w:r>
      <w:r>
        <w:rPr>
          <w:rFonts w:ascii="Times New Roman;serif" w:hAnsi="Times New Roman;serif"/>
          <w:b w:val="false"/>
          <w:color w:val="000000"/>
          <w:sz w:val="20"/>
        </w:rPr>
        <w:t>. Revenues from international clients increased by $29.9 million or 13.9% to $245.1 million for the three months ended June 30, 2026 compared to $215.2 million for the three months ended June 30, 2025 primarily due to higher revenues for rates derivatives products, European corporate bonds, LSEG market data fees, European and other government bonds, international ETFs and equity derivative products.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expenses for the three months ended June 30, 2026 and 2025 were as follows:</w:t>
      </w:r>
    </w:p>
    <w:tbl>
      <w:tblPr>
        <w:tblW w:w="8829" w:type="dxa"/>
        <w:jc w:val="left"/>
        <w:tblInd w:w="0" w:type="dxa"/>
        <w:tblLayout w:type="fixed"/>
        <w:tblCellMar>
          <w:top w:w="28" w:type="dxa"/>
          <w:left w:w="28" w:type="dxa"/>
          <w:bottom w:w="28" w:type="dxa"/>
          <w:right w:w="28" w:type="dxa"/>
        </w:tblCellMar>
      </w:tblPr>
      <w:tblGrid>
        <w:gridCol w:w="1147"/>
        <w:gridCol w:w="1006"/>
        <w:gridCol w:w="1011"/>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90"/>
        <w:gridCol w:w="295"/>
        <w:gridCol w:w="54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pPr>
      <w:r>
        <w:rPr>
          <w:rFonts w:ascii="Times New Roman;serif" w:hAnsi="Times New Roman;serif"/>
          <w:b w:val="false"/>
          <w:color w:val="000000"/>
          <w:sz w:val="20"/>
          <w:u w:val="single"/>
        </w:rPr>
        <w:t>Employee Compensation and Benefits</w:t>
      </w:r>
      <w:r>
        <w:rPr>
          <w:rFonts w:ascii="Times New Roman;serif" w:hAnsi="Times New Roman;serif"/>
          <w:b w:val="false"/>
          <w:color w:val="000000"/>
          <w:sz w:val="20"/>
        </w:rPr>
        <w:t>. Expenses related to employee compensation and benefits were relatively flat at $172.5 million for the three months ended June 30, 2026, an increase of $2.8 million or 1.6% compared to $169.7 million for the three months ended June 30, 2025. As of June 30, 2026, December 31, 2025 and June 30, 2025, we had 1,613, 1,569 and 1,462 employees globally, respectively. The increase in headcount and related salaries, benefits and stock-based compensation associated with our continued growth was partially offset by a decrease in the amount of incentive compensation tied to our financial performance.</w:t>
      </w:r>
    </w:p>
    <w:p>
      <w:pPr>
        <w:pStyle w:val="TextBody"/>
        <w:bidi w:val="0"/>
        <w:spacing w:lineRule="auto" w:line="288" w:before="200" w:after="283"/>
        <w:jc w:val="left"/>
        <w:rPr/>
      </w:pPr>
      <w:r>
        <w:rPr>
          <w:rFonts w:ascii="Times New Roman;serif" w:hAnsi="Times New Roman;serif"/>
          <w:b w:val="false"/>
          <w:color w:val="000000"/>
          <w:sz w:val="20"/>
          <w:u w:val="single"/>
        </w:rPr>
        <w:t>Depreciation and Amortization</w:t>
      </w:r>
      <w:r>
        <w:rPr>
          <w:rFonts w:ascii="Times New Roman;serif" w:hAnsi="Times New Roman;serif"/>
          <w:b w:val="false"/>
          <w:color w:val="000000"/>
          <w:sz w:val="20"/>
        </w:rPr>
        <w:t>. Expenses related to depreciation and amortization were relatively flat at $61.5 million for the three months ended June 30, 2026, a decrease of $1.6 million or 2.5% compared to $63.0 million for the three months ended June 30, 2025.</w:t>
      </w:r>
    </w:p>
    <w:p>
      <w:pPr>
        <w:pStyle w:val="TextBody"/>
        <w:bidi w:val="0"/>
        <w:spacing w:lineRule="auto" w:line="288" w:before="200" w:after="283"/>
        <w:jc w:val="left"/>
        <w:rPr/>
      </w:pPr>
      <w:r>
        <w:rPr>
          <w:rFonts w:ascii="Times New Roman;serif" w:hAnsi="Times New Roman;serif"/>
          <w:b w:val="false"/>
          <w:color w:val="000000"/>
          <w:sz w:val="20"/>
          <w:u w:val="single"/>
        </w:rPr>
        <w:t>Technology and Communications</w:t>
      </w:r>
      <w:r>
        <w:rPr>
          <w:rFonts w:ascii="Times New Roman;serif" w:hAnsi="Times New Roman;serif"/>
          <w:b w:val="false"/>
          <w:color w:val="000000"/>
          <w:sz w:val="20"/>
        </w:rPr>
        <w:t xml:space="preserve">. Expenses related to technology and communications increased by $11.8 million or 38.9% to $42.0 million for the three months ended June 30, 2026 compared to $30.2 million for the three months ended June 30, 2025. The increase was primarily due to increased investment in our data strategy and infrastructure and increased data fees driven primarily by higher trading volumes period-over-period. Approximately $5.2 million of the increase was driven by a step-up in costs, which began in the second half of 2025, relating to investments in our data infrastructure strategy and higher reference data costs. As this step-up occurred during the second half of 2025, it is not expected to continue to contribute to significant expense growth in future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u w:val="single"/>
        </w:rPr>
        <w:t>General and Administrative</w:t>
      </w:r>
      <w:r>
        <w:rPr>
          <w:rFonts w:ascii="Times New Roman;serif" w:hAnsi="Times New Roman;serif"/>
          <w:b w:val="false"/>
          <w:color w:val="000000"/>
          <w:sz w:val="20"/>
        </w:rPr>
        <w:t>. Expenses related to general and administrative costs decreased by $13.4 million or 44.6% to $16.6 million for the three months ended June 30, 2026 compared to $30.0 million for the three months ended June 30, 2025. The decrease was primarily due to a $17.2 million decrease in foreign exchange losses during the three months ended June 30, 2026 compared to the prior year period. Realized and unrealized foreign currency gains totaled $4.4 million during the three months ended June 30, 2026 as compared to $12.8 million in losses during the three months ended June 30, 2025. The change was primarily driven by the change in fair value of our foreign currency forward contracts used in connection with our foreign currency risk management program, partially offset by a decrease in foreign currency re-measurement gains on transactions in nonfunctional currencies. The overall decrease in general and administrative expenses was partially offset by an increase in travel and entertainment costs to support our continued growth.</w:t>
      </w:r>
    </w:p>
    <w:p>
      <w:pPr>
        <w:pStyle w:val="TextBody"/>
        <w:bidi w:val="0"/>
        <w:spacing w:lineRule="auto" w:line="288" w:before="200" w:after="283"/>
        <w:jc w:val="left"/>
        <w:rPr/>
      </w:pPr>
      <w:r>
        <w:rPr>
          <w:rFonts w:ascii="Times New Roman;serif" w:hAnsi="Times New Roman;serif"/>
          <w:b w:val="false"/>
          <w:color w:val="000000"/>
          <w:sz w:val="20"/>
          <w:u w:val="single"/>
        </w:rPr>
        <w:t>Professional Fees</w:t>
      </w:r>
      <w:r>
        <w:rPr>
          <w:rFonts w:ascii="Times New Roman;serif" w:hAnsi="Times New Roman;serif"/>
          <w:b w:val="false"/>
          <w:color w:val="000000"/>
          <w:sz w:val="20"/>
        </w:rPr>
        <w:t xml:space="preserve">. Expenses related to professional fees decreased by $1.4 million or 9.8% to $12.8 million for the three months ended June 30, 2026, compared to $14.2 million for the three months ended June 30, 2025, primarily due to a decrease in professional fees related to acquisition and integration activities. </w:t>
      </w:r>
    </w:p>
    <w:p>
      <w:pPr>
        <w:pStyle w:val="TextBody"/>
        <w:bidi w:val="0"/>
        <w:spacing w:lineRule="auto" w:line="288" w:before="200" w:after="283"/>
        <w:jc w:val="left"/>
        <w:rPr/>
      </w:pPr>
      <w:r>
        <w:rPr>
          <w:rFonts w:ascii="Times New Roman;serif" w:hAnsi="Times New Roman;serif"/>
          <w:b w:val="false"/>
          <w:color w:val="000000"/>
          <w:sz w:val="20"/>
          <w:u w:val="single"/>
        </w:rPr>
        <w:t>Occupancy</w:t>
      </w:r>
      <w:r>
        <w:rPr>
          <w:rFonts w:ascii="Times New Roman;serif" w:hAnsi="Times New Roman;serif"/>
          <w:b w:val="false"/>
          <w:color w:val="000000"/>
          <w:sz w:val="20"/>
        </w:rPr>
        <w:t>. Expenses related to occupancy costs increased by $2.4 million or 39.1% to $8.4 million for the three months ended June 30, 2026 compared to $6.0 million for the three months ended June 30, 2025. The increase was primarily due to higher office and data center rent expense associated with our global expansion, including the commencement in September 2025 of the lease for our new corporate headquarters in New York City.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$3.2 million or 21.2% to $18.2 million for the three months ended June 30, 2026 compared to $15.0 million for the three months ended June 30, 2025 primarily due to an increase in our average invested cash balance, partially offset by a decrease in the average interest rates earned period-over-period.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was relatively flat at $0.5 million for the three months ended June 30, 2026 compared to $0.4 million for the three months ended June 30,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(Loss),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income was $7.3 million for the three months ended June 30, 2026, primarily due to $26.6 million in unrealized gains on minority equity investments without a readily determinable fair value, based on the price from observable transactions of similar investments of the same issuers, partially offset by a $15.1 million unrealized loss relating to a decrease in fair value of our Canton Coin holdings, a $3.7 million decrease in fair value of our investment in CNTN and a $0.5 million loss from our equity method investments. Other income was $12.7 million for the three months ended June 30, 2025 due to an $18.1 million unrealized gain relating to the increase in fair value of our Canton Coin holdings, partially offset by a $5.4 million loss due to the impairment on a minority equity investment.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increased by $12.0 million or 23.2% to $63.5 million for the three months ended June 30, 2026 compared to $51.5 million for the three months ended June 30, 2025. The provision for income taxes includes U.S. federal, state, local and foreign taxes. The effective tax rate for the three months ended June 30, 2026 was approximately 23.5%, compared with 22.7% for the three months ended June 30, 2025. The effective tax rate for the three months ended June 30, 2026 differed from the U.S. federal statutory rate of 21.0% primarily due to state, local and foreign taxes and the disallowance of compensation expense tax deductions, partially offset by the effect of non-controlling interests, the Foreign-Derived Deduction Eligible Income (“FDDEI”) deduction and benefits associated with purchasing transferable tax credits at a discount. The effective tax rate for the three months ended June 30, 2025 differed from the U.S. federal statutory rate of 21.0% primarily due to state, local and foreign taxes and the disallowance of compensation expense tax deductions, partially offset by the effect of non-controlling interests, the dividends received deduction and the FDDEI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 the Six Months Ended June 30, 2026 and June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statements of income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1530"/>
        <w:gridCol w:w="1262"/>
        <w:gridCol w:w="124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84"/>
        <w:gridCol w:w="287"/>
        <w:gridCol w:w="547"/>
      </w:tblGrid>
      <w:tr>
        <w:trPr/>
        <w:tc>
          <w:tcPr>
            <w:tcW w:w="153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Tradeweb Markets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revenues for the six months ended June 30, 2026 and 2025, and the resulting dollar and percentage changes, were as follows:</w:t>
      </w:r>
    </w:p>
    <w:tbl>
      <w:tblPr>
        <w:tblW w:w="10205" w:type="dxa"/>
        <w:jc w:val="left"/>
        <w:tblInd w:w="0" w:type="dxa"/>
        <w:tblLayout w:type="fixed"/>
        <w:tblCellMar>
          <w:top w:w="28" w:type="dxa"/>
          <w:left w:w="28" w:type="dxa"/>
          <w:bottom w:w="28" w:type="dxa"/>
          <w:right w:w="28" w:type="dxa"/>
        </w:tblCellMar>
      </w:tblPr>
      <w:tblGrid>
        <w:gridCol w:w="501"/>
        <w:gridCol w:w="439"/>
        <w:gridCol w:w="443"/>
        <w:gridCol w:w="109"/>
        <w:gridCol w:w="109"/>
        <w:gridCol w:w="109"/>
        <w:gridCol w:w="211"/>
        <w:gridCol w:w="976"/>
        <w:gridCol w:w="109"/>
        <w:gridCol w:w="109"/>
        <w:gridCol w:w="109"/>
        <w:gridCol w:w="109"/>
        <w:gridCol w:w="307"/>
        <w:gridCol w:w="309"/>
        <w:gridCol w:w="417"/>
        <w:gridCol w:w="109"/>
        <w:gridCol w:w="109"/>
        <w:gridCol w:w="109"/>
        <w:gridCol w:w="211"/>
        <w:gridCol w:w="976"/>
        <w:gridCol w:w="109"/>
        <w:gridCol w:w="109"/>
        <w:gridCol w:w="109"/>
        <w:gridCol w:w="109"/>
        <w:gridCol w:w="307"/>
        <w:gridCol w:w="309"/>
        <w:gridCol w:w="417"/>
        <w:gridCol w:w="109"/>
        <w:gridCol w:w="109"/>
        <w:gridCol w:w="109"/>
        <w:gridCol w:w="211"/>
        <w:gridCol w:w="826"/>
        <w:gridCol w:w="109"/>
        <w:gridCol w:w="109"/>
        <w:gridCol w:w="109"/>
        <w:gridCol w:w="109"/>
        <w:gridCol w:w="255"/>
        <w:gridCol w:w="256"/>
        <w:gridCol w:w="545"/>
      </w:tblGrid>
      <w:tr>
        <w:trPr/>
        <w:tc>
          <w:tcPr>
            <w:tcW w:w="5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fees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Subscription fees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total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Constant currency change</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(1)Subscription fees for the six months ended June 30, 2026 and 2025 include $53.2 million and $49.5 million, respectively, of LSEG market data fees.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primary driver of the $154.1 million increase in revenue related to a $138.1 million increase in transaction fees and commissions to $989.2 million for the six months ended June 30, 2026 from $851.1 million for the six months ended June 30, 2025, primarily due to higher revenues for rates derivatives products, mortgages, credit derivative products, U.S. and international ETFs, U.S. government bonds, U.S. and European corporate bonds, as well as higher commissions earned on higher average daily balances of money market fund investments made through the ICD Portal.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total revenue by asset class for the six months ended June 30, 2026 and 2025, and the resulting dollar and percentage changes, were as follows: </w:t>
      </w:r>
    </w:p>
    <w:tbl>
      <w:tblPr>
        <w:tblW w:w="7511"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544"/>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Our variable and fixed revenues by asset class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and 2025, and the resulting dollar and percentage changes, were as follows:</w:t>
      </w:r>
    </w:p>
    <w:tbl>
      <w:tblPr>
        <w:tblW w:w="1216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6"/>
        <w:gridCol w:w="310"/>
        <w:gridCol w:w="408"/>
        <w:gridCol w:w="109"/>
        <w:gridCol w:w="109"/>
        <w:gridCol w:w="109"/>
        <w:gridCol w:w="255"/>
        <w:gridCol w:w="256"/>
        <w:gridCol w:w="330"/>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Fixed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key drivers of the change in total revenue by asset class are summarized as follows: </w:t>
      </w:r>
    </w:p>
    <w:p>
      <w:pPr>
        <w:pStyle w:val="TextBody"/>
        <w:bidi w:val="0"/>
        <w:spacing w:lineRule="auto" w:line="288" w:before="200" w:after="283"/>
        <w:jc w:val="left"/>
        <w:rPr/>
      </w:pPr>
      <w:r>
        <w:rPr>
          <w:rFonts w:ascii="Times New Roman;serif" w:hAnsi="Times New Roman;serif"/>
          <w:b w:val="false"/>
          <w:color w:val="000000"/>
          <w:sz w:val="20"/>
          <w:u w:val="single"/>
        </w:rPr>
        <w:t>Rates</w:t>
      </w:r>
      <w:r>
        <w:rPr>
          <w:rFonts w:ascii="Times New Roman;serif" w:hAnsi="Times New Roman;serif"/>
          <w:b w:val="false"/>
          <w:color w:val="000000"/>
          <w:sz w:val="20"/>
        </w:rPr>
        <w:t>. Revenues from our rates asset class increased by $106.7 million or 19.8% to $646.7 million for the six months ended June 30, 2026 compared to $539.9 million for the six months ended June 30, 2025 primarily due to higher variable transaction fees and commissions on higher trading volumes for rates derivatives products, mortgages and U.S. and other government bonds.</w:t>
      </w:r>
    </w:p>
    <w:p>
      <w:pPr>
        <w:pStyle w:val="TextBody"/>
        <w:bidi w:val="0"/>
        <w:spacing w:lineRule="auto" w:line="288" w:before="200" w:after="283"/>
        <w:jc w:val="left"/>
        <w:rPr/>
      </w:pPr>
      <w:r>
        <w:rPr>
          <w:rFonts w:ascii="Times New Roman;serif" w:hAnsi="Times New Roman;serif"/>
          <w:b w:val="false"/>
          <w:color w:val="000000"/>
          <w:sz w:val="20"/>
          <w:u w:val="single"/>
        </w:rPr>
        <w:t>Credit</w:t>
      </w:r>
      <w:r>
        <w:rPr>
          <w:rFonts w:ascii="Times New Roman;serif" w:hAnsi="Times New Roman;serif"/>
          <w:b w:val="false"/>
          <w:color w:val="000000"/>
          <w:sz w:val="20"/>
        </w:rPr>
        <w:t>. Revenues from our credit asset class increased by $18.3 million or 7.4% to $266.6 million for the six months ended June 30, 2026 compared to $248.3 million for the six months ended June 30, 2025 primarily due to higher variable transaction fees and commissions on higher trading volumes for credit derivatives products and European corporate bonds, partially offset by lower variable transaction fees and commissions on lower trading volumes for municipals. There was also an increase in fixed revenues primarily driven by certain market participants for U.S corporate bonds switching during 2025 from fully variable pricing plans to pricing plans that include minimum fee floors or subscription fees, resulting in a shift of a portion of revenues from variable to fixed revenue.</w:t>
      </w:r>
    </w:p>
    <w:p>
      <w:pPr>
        <w:pStyle w:val="TextBody"/>
        <w:bidi w:val="0"/>
        <w:spacing w:lineRule="auto" w:line="288" w:before="200" w:after="283"/>
        <w:jc w:val="left"/>
        <w:rPr/>
      </w:pPr>
      <w:r>
        <w:rPr>
          <w:rFonts w:ascii="Times New Roman;serif" w:hAnsi="Times New Roman;serif"/>
          <w:b w:val="false"/>
          <w:color w:val="000000"/>
          <w:sz w:val="20"/>
          <w:u w:val="single"/>
        </w:rPr>
        <w:t>Equities</w:t>
      </w:r>
      <w:r>
        <w:rPr>
          <w:rFonts w:ascii="Times New Roman;serif" w:hAnsi="Times New Roman;serif"/>
          <w:b w:val="false"/>
          <w:color w:val="000000"/>
          <w:sz w:val="20"/>
        </w:rPr>
        <w:t>. Revenues from our equities asset class increased by $14.5 million or 22.1% to $80.2 million for the six months ended June 30, 2026 compared to $65.7 million for the six months ended June 30, 2025 primarily due to higher variable transaction fees and commissions on higher trading volumes for U.S. and international ETFs and equity derivatives products.</w:t>
      </w:r>
    </w:p>
    <w:p>
      <w:pPr>
        <w:pStyle w:val="TextBody"/>
        <w:bidi w:val="0"/>
        <w:spacing w:lineRule="auto" w:line="288" w:before="200" w:after="283"/>
        <w:jc w:val="left"/>
        <w:rPr/>
      </w:pPr>
      <w:r>
        <w:rPr>
          <w:rFonts w:ascii="Times New Roman;serif" w:hAnsi="Times New Roman;serif"/>
          <w:b w:val="false"/>
          <w:color w:val="000000"/>
          <w:sz w:val="20"/>
          <w:u w:val="single"/>
        </w:rPr>
        <w:t>Money Markets</w:t>
      </w:r>
      <w:r>
        <w:rPr>
          <w:rFonts w:ascii="Times New Roman;serif" w:hAnsi="Times New Roman;serif"/>
          <w:b w:val="false"/>
          <w:color w:val="000000"/>
          <w:sz w:val="20"/>
        </w:rPr>
        <w:t>. Revenues from our money markets asset class increased by $5.7 million or 6.7% to $91.1 million for the six months ended June 30, 2026 compared to $85.3 million for the six months ended June 30, 2025 primarily due to the higher variable transaction fees and commissions earned on higher average daily balances of money market fund investments made through the ICD Portal and higher trading volumes for repurchase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u w:val="single"/>
        </w:rPr>
        <w:t>Market Data</w:t>
      </w:r>
      <w:r>
        <w:rPr>
          <w:rFonts w:ascii="Times New Roman;serif" w:hAnsi="Times New Roman;serif"/>
          <w:b w:val="false"/>
          <w:color w:val="000000"/>
          <w:sz w:val="20"/>
        </w:rPr>
        <w:t>. Revenues from our market data asset class increased by $5.1 million or 7.4% to $74.2 million for the six months ended June 30, 2026 compared to $69.1 million for the six months ended June 30, 2025. The increase was primarily due to amendments to our LSEG market data license agreement which were effective in November 2025, as well as growth in our proprietary market data revenues. The amended market data license agreement included higher overall fees that were partially offset by a change in the timing of the delivery of periodic historical data sets, with more frequent deliveries scheduled under the amended agreement and a corresponding decrease in revenue during the six months ended June 30, 2026. Under the previous agreement, $8.4 million of revenue was recognized from the periodic delivery of historical data sets delivered and recognized all in January 2025, as compared to quarterly delivery of historical data sets under the amended agreement beginning in the first quarter of 2026, resulting in $4.5 million of revenue recognized during the six months ended June 30, 2026.</w:t>
      </w:r>
    </w:p>
    <w:p>
      <w:pPr>
        <w:pStyle w:val="TextBody"/>
        <w:bidi w:val="0"/>
        <w:spacing w:lineRule="auto" w:line="288" w:before="200" w:after="283"/>
        <w:jc w:val="left"/>
        <w:rPr/>
      </w:pPr>
      <w:r>
        <w:rPr>
          <w:rFonts w:ascii="Times New Roman;serif" w:hAnsi="Times New Roman;serif"/>
          <w:b w:val="false"/>
          <w:color w:val="000000"/>
          <w:sz w:val="20"/>
          <w:u w:val="single"/>
        </w:rPr>
        <w:t>Other</w:t>
      </w:r>
      <w:r>
        <w:rPr>
          <w:rFonts w:ascii="Times New Roman;serif" w:hAnsi="Times New Roman;serif"/>
          <w:b w:val="false"/>
          <w:color w:val="000000"/>
          <w:sz w:val="20"/>
        </w:rPr>
        <w:t>. Revenues from our other asset class increased by $3.7 million or 25.7% to $17.9 million for the six months ended June 30, 2026 compared to $14.3 million for the six months ended June 30, 2025 primarily due to an increase in digital asset revenue earned for performing validation services on the Canton Network.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generate revenue from a diverse portfolio of client sectors. Our total revenue by client sector for the six months ended June 30, 2026 and 2025, and the resulting dollar and percentage changes, were as follows:</w:t>
      </w:r>
    </w:p>
    <w:tbl>
      <w:tblPr>
        <w:tblW w:w="7346" w:type="dxa"/>
        <w:jc w:val="left"/>
        <w:tblInd w:w="0" w:type="dxa"/>
        <w:tblLayout w:type="fixed"/>
        <w:tblCellMar>
          <w:top w:w="28" w:type="dxa"/>
          <w:left w:w="28" w:type="dxa"/>
          <w:bottom w:w="28" w:type="dxa"/>
          <w:right w:w="28" w:type="dxa"/>
        </w:tblCellMar>
      </w:tblPr>
      <w:tblGrid>
        <w:gridCol w:w="451"/>
        <w:gridCol w:w="395"/>
        <w:gridCol w:w="39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54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pPr>
      <w:r>
        <w:rPr>
          <w:rFonts w:ascii="Times New Roman;serif" w:hAnsi="Times New Roman;serif"/>
          <w:b w:val="false"/>
          <w:color w:val="000000"/>
          <w:sz w:val="20"/>
          <w:u w:val="single"/>
        </w:rPr>
        <w:t>Institutional</w:t>
      </w:r>
      <w:r>
        <w:rPr>
          <w:rFonts w:ascii="Times New Roman;serif" w:hAnsi="Times New Roman;serif"/>
          <w:b w:val="false"/>
          <w:color w:val="000000"/>
          <w:sz w:val="20"/>
        </w:rPr>
        <w:t>. Revenues from our institutional client sector increased by $130.3 million or 20.7% to $760.3 million for the six months ended June 30, 2026 compared to $630.0 million for the six months ended June 30, 2025. The increase was derived primarily from higher revenues for rates and credit derivatives products, U.S. and European government bonds, mortgages and U.S. and international ETFs.</w:t>
      </w:r>
    </w:p>
    <w:p>
      <w:pPr>
        <w:pStyle w:val="TextBody"/>
        <w:bidi w:val="0"/>
        <w:spacing w:lineRule="auto" w:line="288" w:before="200" w:after="283"/>
        <w:jc w:val="left"/>
        <w:rPr/>
      </w:pPr>
      <w:r>
        <w:rPr>
          <w:rFonts w:ascii="Times New Roman;serif" w:hAnsi="Times New Roman;serif"/>
          <w:b w:val="false"/>
          <w:color w:val="000000"/>
          <w:sz w:val="20"/>
          <w:u w:val="single"/>
        </w:rPr>
        <w:t>Wholesale</w:t>
      </w:r>
      <w:r>
        <w:rPr>
          <w:rFonts w:ascii="Times New Roman;serif" w:hAnsi="Times New Roman;serif"/>
          <w:b w:val="false"/>
          <w:color w:val="000000"/>
          <w:sz w:val="20"/>
        </w:rPr>
        <w:t>. Revenues from our wholesale client sector increased by $21.7 million or 10.6% to $225.2 million for the six months ended June 30, 2026 compared to $203.5 million for the six months ended June 30, 2025. The increase was derived primarily from higher revenues for U.S. and European corporate bonds, U.S. government bonds, mortgages and repurchase agreements.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u w:val="single"/>
        </w:rPr>
        <w:t>Retail</w:t>
      </w:r>
      <w:r>
        <w:rPr>
          <w:rFonts w:ascii="Times New Roman;serif" w:hAnsi="Times New Roman;serif"/>
          <w:b w:val="false"/>
          <w:color w:val="000000"/>
          <w:sz w:val="20"/>
        </w:rPr>
        <w:t>. Revenues from our retail client sector decreased by $7.0 million or 9.5% to $66.5 million for the six months ended June 30, 2026 compared to $73.5 million for the six months ended June 30, 2025. The decrease was derived primarily from lower revenues for U.S. corporate bonds, municipals and U.S. government bonds.</w:t>
      </w:r>
    </w:p>
    <w:p>
      <w:pPr>
        <w:pStyle w:val="TextBody"/>
        <w:bidi w:val="0"/>
        <w:spacing w:lineRule="auto" w:line="288" w:before="200" w:after="283"/>
        <w:jc w:val="left"/>
        <w:rPr/>
      </w:pPr>
      <w:r>
        <w:rPr>
          <w:rFonts w:ascii="Times New Roman;serif" w:hAnsi="Times New Roman;serif"/>
          <w:b w:val="false"/>
          <w:color w:val="000000"/>
          <w:sz w:val="20"/>
          <w:u w:val="single"/>
        </w:rPr>
        <w:t>Corporates.</w:t>
      </w:r>
      <w:r>
        <w:rPr>
          <w:color w:val="000000"/>
        </w:rPr>
        <w:t xml:space="preserve"> </w:t>
      </w:r>
      <w:r>
        <w:rPr>
          <w:rFonts w:ascii="Times New Roman;serif" w:hAnsi="Times New Roman;serif"/>
          <w:b w:val="false"/>
          <w:color w:val="000000"/>
          <w:sz w:val="20"/>
        </w:rPr>
        <w:t>Revenues from our corporates client sector increased by $4.0 million or 8.6% to $50.5 million for the six months ended June 30, 2026 compared to $46.5 million for the six months ended June 30, 2025. The primary driver of the increase was higher commissions earned on higher average daily balances of money market fund investments made through the ICD Portal.</w:t>
      </w:r>
    </w:p>
    <w:p>
      <w:pPr>
        <w:pStyle w:val="TextBody"/>
        <w:bidi w:val="0"/>
        <w:spacing w:lineRule="auto" w:line="288" w:before="200" w:after="283"/>
        <w:jc w:val="left"/>
        <w:rPr/>
      </w:pPr>
      <w:r>
        <w:rPr>
          <w:rFonts w:ascii="Times New Roman;serif" w:hAnsi="Times New Roman;serif"/>
          <w:b w:val="false"/>
          <w:color w:val="000000"/>
          <w:sz w:val="20"/>
          <w:u w:val="single"/>
        </w:rPr>
        <w:t>Market Data</w:t>
      </w:r>
      <w:r>
        <w:rPr>
          <w:rFonts w:ascii="Times New Roman;serif" w:hAnsi="Times New Roman;serif"/>
          <w:b w:val="false"/>
          <w:color w:val="000000"/>
          <w:sz w:val="20"/>
        </w:rPr>
        <w:t>. Revenues from our market data client sector increased by $5.1 million or 7.4% to $74.2 million for the six months ended June 30, 2026 compared to $69.1 million for the six months ended June 30, 2025. The increase was primarily due to amendments to our LSEG market data license agreement which were effective in November 2025, as well as growth in our proprietary market data revenues. The amended market data license agreement included higher overall fees that were partially offset by a change in the timing of the delivery of periodic historical data sets, with more frequent deliveries scheduled under the amended agreement and a corresponding decrease in revenue during the six months ended June 30, 2026. Under the previous agreement, $8.4 million of revenue was recognized from the periodic delivery of historical data sets delivered and recognized all in January 2025, as compared to quarterly delivery of historical data sets under the amended agreement beginning in the first quarter of 2026, resulting in $4.5 million of revenue recognized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revenues and client base are also diversified by geography. Our total revenue by geography (based on client location) for the six months ended June 30, 2026 and 2025, and the resulting dollar and percentage changes, were as follows:</w:t>
      </w:r>
    </w:p>
    <w:tbl>
      <w:tblPr>
        <w:tblW w:w="7346" w:type="dxa"/>
        <w:jc w:val="left"/>
        <w:tblInd w:w="0" w:type="dxa"/>
        <w:tblLayout w:type="fixed"/>
        <w:tblCellMar>
          <w:top w:w="28" w:type="dxa"/>
          <w:left w:w="28" w:type="dxa"/>
          <w:bottom w:w="28" w:type="dxa"/>
          <w:right w:w="28" w:type="dxa"/>
        </w:tblCellMar>
      </w:tblPr>
      <w:tblGrid>
        <w:gridCol w:w="451"/>
        <w:gridCol w:w="395"/>
        <w:gridCol w:w="39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54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pPr>
      <w:r>
        <w:rPr>
          <w:rFonts w:ascii="Times New Roman;serif" w:hAnsi="Times New Roman;serif"/>
          <w:b w:val="false"/>
          <w:color w:val="000000"/>
          <w:sz w:val="20"/>
          <w:u w:val="single"/>
        </w:rPr>
        <w:t>U.S.</w:t>
      </w:r>
      <w:r>
        <w:rPr>
          <w:color w:val="000000"/>
        </w:rPr>
        <w:t xml:space="preserve"> </w:t>
      </w:r>
      <w:r>
        <w:rPr>
          <w:rFonts w:ascii="Times New Roman;serif" w:hAnsi="Times New Roman;serif"/>
          <w:b w:val="false"/>
          <w:color w:val="000000"/>
          <w:sz w:val="20"/>
        </w:rPr>
        <w:t>Revenues from U.S. clients increased by $61.8 million or 10.4% to $657.5 million for the six months ended June 30, 2026 compared to $595.7 million for the six months ended June 30, 2025 primarily due to higher revenues for rates derivatives products, mortgages, U.S. government bonds, U.S. corporate bonds, U.S. ETFs and higher commissions earned on higher average daily balances of money market fund investments made through the ICD Portal.</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u w:val="single"/>
        </w:rPr>
        <w:t>International</w:t>
      </w:r>
      <w:r>
        <w:rPr>
          <w:rFonts w:ascii="Times New Roman;serif" w:hAnsi="Times New Roman;serif"/>
          <w:b w:val="false"/>
          <w:color w:val="000000"/>
          <w:sz w:val="20"/>
        </w:rPr>
        <w:t>. Revenues from international clients increased by $92.2 million or 21.6% to $519.2 million for the six months ended June 30, 2026 compared to $427.0 million for the six months ended June 30, 2025 primarily due to higher revenues for rates and credit derivatives products, international ETFs, European corporate bonds and European and other government bonds.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expenses for the six months ended June 30, 2026 and 2025 were as follows:</w:t>
      </w:r>
    </w:p>
    <w:tbl>
      <w:tblPr>
        <w:tblW w:w="8934" w:type="dxa"/>
        <w:jc w:val="left"/>
        <w:tblInd w:w="0" w:type="dxa"/>
        <w:tblLayout w:type="fixed"/>
        <w:tblCellMar>
          <w:top w:w="28" w:type="dxa"/>
          <w:left w:w="28" w:type="dxa"/>
          <w:bottom w:w="28" w:type="dxa"/>
          <w:right w:w="28" w:type="dxa"/>
        </w:tblCellMar>
      </w:tblPr>
      <w:tblGrid>
        <w:gridCol w:w="1147"/>
        <w:gridCol w:w="1006"/>
        <w:gridCol w:w="101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0"/>
        <w:gridCol w:w="295"/>
        <w:gridCol w:w="54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pPr>
      <w:r>
        <w:rPr>
          <w:rFonts w:ascii="Times New Roman;serif" w:hAnsi="Times New Roman;serif"/>
          <w:b w:val="false"/>
          <w:color w:val="000000"/>
          <w:sz w:val="20"/>
          <w:u w:val="single"/>
        </w:rPr>
        <w:t>Employee Compensation and Benefits</w:t>
      </w:r>
      <w:r>
        <w:rPr>
          <w:rFonts w:ascii="Times New Roman;serif" w:hAnsi="Times New Roman;serif"/>
          <w:b w:val="false"/>
          <w:color w:val="000000"/>
          <w:sz w:val="20"/>
        </w:rPr>
        <w:t>. Expenses related to employee compensation and benefits increased by $23.7 million or 6.8% to $370.3 million for the six months ended June 30, 2026 compared to $346.6 million for the six months ended June 30, 2025. The increase was primarily due to an increase in headcount and related salaries, benefits and equity compensation associated with our continued growth.</w:t>
      </w:r>
    </w:p>
    <w:p>
      <w:pPr>
        <w:pStyle w:val="TextBody"/>
        <w:bidi w:val="0"/>
        <w:spacing w:lineRule="auto" w:line="288" w:before="200" w:after="283"/>
        <w:jc w:val="left"/>
        <w:rPr/>
      </w:pPr>
      <w:r>
        <w:rPr>
          <w:rFonts w:ascii="Times New Roman;serif" w:hAnsi="Times New Roman;serif"/>
          <w:b w:val="false"/>
          <w:color w:val="000000"/>
          <w:sz w:val="20"/>
          <w:u w:val="single"/>
        </w:rPr>
        <w:t>Depreciation and Amortization</w:t>
      </w:r>
      <w:r>
        <w:rPr>
          <w:rFonts w:ascii="Times New Roman;serif" w:hAnsi="Times New Roman;serif"/>
          <w:b w:val="false"/>
          <w:color w:val="000000"/>
          <w:sz w:val="20"/>
        </w:rPr>
        <w:t>. Expenses related to depreciation and amortization were relatively flat at $122.2 million for the six months ended June 30, 2026, a decrease of $3.6 million or 2.8% compared to $125.7 million for the six months ended June 30, 2025.</w:t>
      </w:r>
    </w:p>
    <w:p>
      <w:pPr>
        <w:pStyle w:val="TextBody"/>
        <w:bidi w:val="0"/>
        <w:spacing w:lineRule="auto" w:line="288" w:before="200" w:after="283"/>
        <w:jc w:val="left"/>
        <w:rPr/>
      </w:pPr>
      <w:r>
        <w:rPr>
          <w:rFonts w:ascii="Times New Roman;serif" w:hAnsi="Times New Roman;serif"/>
          <w:b w:val="false"/>
          <w:color w:val="000000"/>
          <w:sz w:val="20"/>
          <w:u w:val="single"/>
        </w:rPr>
        <w:t>Technology and Communications</w:t>
      </w:r>
      <w:r>
        <w:rPr>
          <w:rFonts w:ascii="Times New Roman;serif" w:hAnsi="Times New Roman;serif"/>
          <w:b w:val="false"/>
          <w:color w:val="000000"/>
          <w:sz w:val="20"/>
        </w:rPr>
        <w:t xml:space="preserve">. Expenses related to technology and communications increased by $22.6 million or 38.3% to $81.5 million for the six months ended June 30, 2026 compared to $58.9 million for the six months ended June 30, 2025. The increase was primarily due to increased investment in our data strategy and infrastructure and increased data fees driven primarily by higher trading volumes period-over-period. Approximately $10.1 million of the increase was driven by a step-up in costs, which began in the second half of 2025, relating to investments in our data infrastructure strategy and higher reference data costs. As this step-up occurred during the second half of 2025, it is not expected to continue to contribute to significant expense growth in future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u w:val="single"/>
        </w:rPr>
        <w:t>General and Administrative</w:t>
      </w:r>
      <w:r>
        <w:rPr>
          <w:rFonts w:ascii="Times New Roman;serif" w:hAnsi="Times New Roman;serif"/>
          <w:b w:val="false"/>
          <w:color w:val="000000"/>
          <w:sz w:val="20"/>
        </w:rPr>
        <w:t>. Expenses related to general and administrative costs decreased by $21.2 million or 42.6% to $28.6 million for the six months ended June 30, 2026 compared to $49.7 million for the six months ended June 30, 2025. The decrease was primarily due to a $26.6 million decrease in foreign exchange losses during the six months ended June 30, 2026 compared to the prior year period. Realized and unrealized foreign currency gains totaled $8.4 million during the six months ended June 30, 2026 as compared to $18.2 million in losses during the six months ended June 30, 2025. The change was primarily driven by the change in fair value of our foreign currency forward contracts used in connection with our foreign currency risk management program, partially offset by a decrease in foreign currency re-measurement gains on transactions in nonfunctional currencies. The overall decrease in general and administrative expenses was partially offset by an increase in travel and entertainment costs to support our continued growth.</w:t>
      </w:r>
    </w:p>
    <w:p>
      <w:pPr>
        <w:pStyle w:val="TextBody"/>
        <w:bidi w:val="0"/>
        <w:spacing w:lineRule="auto" w:line="288" w:before="200" w:after="283"/>
        <w:jc w:val="left"/>
        <w:rPr/>
      </w:pPr>
      <w:r>
        <w:rPr>
          <w:rFonts w:ascii="Times New Roman;serif" w:hAnsi="Times New Roman;serif"/>
          <w:b w:val="false"/>
          <w:color w:val="000000"/>
          <w:sz w:val="20"/>
          <w:u w:val="single"/>
        </w:rPr>
        <w:t>Professional Fees</w:t>
      </w:r>
      <w:r>
        <w:rPr>
          <w:rFonts w:ascii="Times New Roman;serif" w:hAnsi="Times New Roman;serif"/>
          <w:b w:val="false"/>
          <w:color w:val="000000"/>
          <w:sz w:val="20"/>
        </w:rPr>
        <w:t>. Expenses related to professional fees decreased by $1.5 million or 5.7% to $25.1 million for the six months ended June 30, 2026 compared to $26.6 million for the six months ended June 30, 2025, primarily due to a decrease in professional fees related to acquisition and integration activities.</w:t>
      </w:r>
    </w:p>
    <w:p>
      <w:pPr>
        <w:pStyle w:val="TextBody"/>
        <w:bidi w:val="0"/>
        <w:spacing w:lineRule="auto" w:line="288" w:before="200" w:after="283"/>
        <w:jc w:val="left"/>
        <w:rPr/>
      </w:pPr>
      <w:r>
        <w:rPr>
          <w:rFonts w:ascii="Times New Roman;serif" w:hAnsi="Times New Roman;serif"/>
          <w:b w:val="false"/>
          <w:color w:val="000000"/>
          <w:sz w:val="20"/>
          <w:u w:val="single"/>
        </w:rPr>
        <w:t>Occupancy</w:t>
      </w:r>
      <w:r>
        <w:rPr>
          <w:rFonts w:ascii="Times New Roman;serif" w:hAnsi="Times New Roman;serif"/>
          <w:b w:val="false"/>
          <w:color w:val="000000"/>
          <w:sz w:val="20"/>
        </w:rPr>
        <w:t>. Expenses related to occupancy costs increased by $5.5 million or 49.3% to $16.6 million for the six months ended June 30, 2026 compared to $11.1 million for the six months ended June 30, 2025. The increase was primarily due to higher office and data center rent expense associated with our global expansion, including the commencement in September 2025 of the lease for our new corporate headquarters in New York City.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$6.8 million or 23.5% to $35.6 million for the six months ended June 30, 2026 compared to $28.8 million for the six months ended June 30, 2025 primarily due to an increase in our average invested cash balance, partially offset by a decrease in the average interest rates earned period-over-period.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was relatively flat at $1.1 million for the six months ended June 30, 2026 compared $1.0 million for the six months ended June 30,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(Loss),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income was $6.1 million for the six months ended June 30, 2026 primarily due to $26.6 million in unrealized gains on minority equity investments without readily determinable fair values, based on the price from observable transactions of similar investments of the same issuers, partially offset by a $18.0 million unrealized loss relating to a decrease in fair value of our Canton Coin holdings, a $1.5 million net decrease in fair value in our investment in CNTN and a $0.9 million loss from our equity method investments. Other income was $16.9 million for the six months ended June 30, 2025 due to a $22.3 million unrealized gain relating to the increase in fair value of our Canton Coin holdings, which was partially offset by a $5.4 million loss due to the impairment on a minority equity investment.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increased by $28.4 million or 27.1% to $133.3 million for the six months ended June 30, 2026 compared to $104.8 million for the six months ended June 30, 2025. The provision for income taxes includes U.S. federal, state, local, and foreign taxes. The effective tax rate for the six months ended June 30, 2026 was approximately 23.3%, compared with 23.4% for the six months ended June 30, 2025. The effective tax rate for the six months ended June 30, 2026 differed from the U.S. federal statutory rate of 21.0% primarily due to state, local and foreign taxes and the disallowance of compensation expense tax deductions, partially offset by the effect of non-controlling interests, dividends received deduction and the FDDEI deduction. The effective tax rate for the six months ended June 30, 2025 differed from the U.S. federal statutory rate of 21.0% primarily due to state, local and foreign taxes and the disallowance of compensation expense tax deductions, partially offset by the effect of non-controlling interests, dividends received deduction and the FDDEI deduction.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Effects of Inflation</w:t>
      </w:r>
    </w:p>
    <w:p>
      <w:pPr>
        <w:pStyle w:val="TextBody"/>
        <w:bidi w:val="0"/>
        <w:spacing w:lineRule="auto" w:line="288" w:before="200" w:after="283"/>
        <w:jc w:val="left"/>
        <w:rPr/>
      </w:pPr>
      <w:r>
        <w:rPr>
          <w:rFonts w:ascii="Times New Roman;serif" w:hAnsi="Times New Roman;serif"/>
          <w:b w:val="false"/>
          <w:color w:val="000000"/>
          <w:sz w:val="20"/>
        </w:rPr>
        <w:t xml:space="preserve">While inflation may impact our revenues and operating expenses, we believe the effects of inflation, if any, on our results of operations and financial condition have not been significant during each of the three and six months ended June 30, 2026 and 2025. However, there can be no assurance that our results of operations and financial condition will not be materially impacted by inflation in the future. See “— Trends and Other Factors Impacting Our Performance — </w:t>
      </w:r>
      <w:r>
        <w:rPr>
          <w:rFonts w:ascii="Times New Roman;serif" w:hAnsi="Times New Roman;serif"/>
          <w:b w:val="false"/>
          <w:color w:val="000000"/>
          <w:sz w:val="20"/>
          <w:shd w:fill="FFFFFF" w:val="clear"/>
        </w:rPr>
        <w:t>Economic Environment</w:t>
      </w:r>
      <w:r>
        <w:rPr>
          <w:color w:val="000000"/>
        </w:rPr>
        <w:t xml:space="preserve">” </w:t>
      </w:r>
      <w:r>
        <w:rPr>
          <w:rFonts w:ascii="Times New Roman;serif" w:hAnsi="Times New Roman;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200" w:after="283"/>
        <w:jc w:val="left"/>
        <w:rPr/>
      </w:pPr>
      <w:r>
        <w:rPr>
          <w:rFonts w:ascii="Times New Roman;serif" w:hAnsi="Times New Roman;serif"/>
          <w:b w:val="false"/>
          <w:color w:val="000000"/>
          <w:sz w:val="20"/>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(as defined below in “— Factors Influencing Our Liquidity and Capital Resources — Indebtedness</w:t>
      </w:r>
      <w:r>
        <w:rPr>
          <w:color w:val="000000"/>
        </w:rPr>
        <w:t>”</w:t>
      </w:r>
      <w:r>
        <w:rPr>
          <w:rFonts w:ascii="Times New Roman;serif" w:hAnsi="Times New Roman;serif"/>
          <w:b w:val="false"/>
          <w:color w:val="000000"/>
          <w:sz w:val="20"/>
        </w:rPr>
        <w:t>) and their sufficiency to fund our operating and investing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Historically, we have generated significant cash flows from operations and have funded our business operations through cash on hand and cash flows from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we had cash and cash equivalents of approximately $2.1 billion. All cash and cash equivalents were held in accounts with financial institutions or money market funds such that the funds are immediately available or in fixed term deposits or investments with a maximum maturity of three months. See Item 3. “Quantitative and Qualitative Disclosures About Market Risk — Credit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Factors Influencing Our Liquidity and Capital Resources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Dividend Policy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Subject to legally available funds, we intend to pay quarterly cash dividends on our Class A common stock and Class B common stock equal to $0.14 per share. As discussed below, our ability to pay these quarterly cash dividends on our Class A common stock and Class B common stock will depend on distributions to us from TWM LLC.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Dividends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30, 2026, the board of directors of Tradeweb Markets Inc. declared a cash dividend of $0.14 per share of Class A common stock and Class B common stock for the third quarter of 2026. This dividend will be payable on September 15, 2026 to stockholders of record as of September 1,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and June 2026, Tradeweb Markets Inc. paid quarterly cash dividends to holders of Class A common stock and Class B common stock in an aggregate amount totaling $59.5 million during the six months ended June 30, 2026.</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Distributions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30, 2026, Tradeweb Markets Inc., as the sole manager, approved a distribution by TWM LLC to its equityholders, including Tradeweb Markets Inc., in an aggregate amount of $41.3 million, as adjusted by required state and local tax withholdings that will be determined prior to the record date of September 1, 2026 payable on September 11,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and June 2026, TWM LLC made quarterly cash distributions to its equityholders in an aggregate amount of $102.6 million during the six months ended June 30, 2026, including distributions to Tradeweb Markets Inc. of $92.6 million and distributions to non-controlling interests of $10.0 million. The proceeds of the cash distributions were used by Tradeweb Markets Inc. to fund dividend payments, taxes and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Programs</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Company’s board of directors has authorized share repurchase programs from time to time, which authorize the repurchase of shares of the</w:t>
      </w:r>
      <w:r>
        <w:rPr>
          <w:color w:val="000000"/>
        </w:rPr>
        <w:t xml:space="preserve"> </w:t>
      </w:r>
      <w:r>
        <w:rPr>
          <w:rFonts w:ascii="Times New Roman;serif" w:hAnsi="Times New Roman;serif"/>
          <w:b w:val="false"/>
          <w:color w:val="000000"/>
          <w:sz w:val="20"/>
        </w:rPr>
        <w:t xml:space="preserve">Company’s Class A common stock to offset annual dilution from stock-based compensation plans, as well as to opportunistically repurchase the Company’s Class A common stock. Pursuant to these share repurchase programs, the Company may make repurchases in the open market, through privately negotiated transactions, through accelerated repurchase programs (including through the use of derivatives), pursuant to Rule 10b5-1 plans or through enhanced open-market repurchases (eOMR). Any share repurchases are conducted in compliance with applicable legal requirements and the manner, timing and amount of any repurchases are based on an evaluation of market conditions, stock price and other factors. The Company’s share repurchase programs do not require the Company to acquire a specific number of shares, have no termination date and may be suspended, amended or discontinued at any time. </w:t>
      </w:r>
    </w:p>
    <w:p>
      <w:pPr>
        <w:pStyle w:val="TextBody"/>
        <w:bidi w:val="0"/>
        <w:spacing w:lineRule="auto" w:line="288" w:before="200" w:after="283"/>
        <w:jc w:val="left"/>
        <w:rPr/>
      </w:pPr>
      <w:r>
        <w:rPr>
          <w:rFonts w:ascii="Times New Roman;serif" w:hAnsi="Times New Roman;serif"/>
          <w:b w:val="false"/>
          <w:color w:val="000000"/>
          <w:sz w:val="20"/>
          <w:shd w:fill="FFFFFF" w:val="clear"/>
        </w:rPr>
        <w:t>On December 5, 2022,</w:t>
      </w:r>
      <w:r>
        <w:rPr>
          <w:color w:val="000000"/>
        </w:rPr>
        <w:t xml:space="preserve"> </w:t>
      </w:r>
      <w:r>
        <w:rPr>
          <w:rFonts w:ascii="Times New Roman;serif" w:hAnsi="Times New Roman;serif"/>
          <w:b w:val="false"/>
          <w:color w:val="000000"/>
          <w:sz w:val="20"/>
        </w:rPr>
        <w:t>the board of directors authorized a share repurchase program for the purchase of up to $300.0 million of our Class A common stock (the “2022 Share Repurchase Program”). During the six months ended June 30, 2026, the Company acquired a total of 706,028 shares of Class A common stock at an average price of $104.76, for purchases totaling $74.0 million, pursuant to the 2022 Share Repurchase Program. As of June 30, 2026, no shares remained available for repurchase pursuant to the 2022 Share Repurchase Program.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5, 2026, the board of directors authorized a new share repurchase program for the purchase of up to $500.0 million of our Class A common stock (the “2026 Share Repurchase Program”), which became available once the 2022 Share Repurchase Program was exhausted. During the six months ended June 30, 2026, the Company acquired a total of 1,684,901 shares of Class A common stock at an average price of $98.35, for purchases totaling $165.7 million, pursuant to the 2026 Share Repurchase Program. As of June 30, 2026, a total of $334.3 million remained available for repurchase pursuant to the 2026 Share Repurchase Program.</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Share Repurchases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withheld 766,629 shares of common stock from employee stock option, PRSU, PSU and RSU awards, at an average price per share of $111.04 and an aggregate value of $85.1 million, based on the price of the Class A common stock on the date the relevant withholding occurred. </w:t>
      </w:r>
    </w:p>
    <w:p>
      <w:pPr>
        <w:pStyle w:val="TextBody"/>
        <w:bidi w:val="0"/>
        <w:spacing w:lineRule="auto" w:line="288" w:before="200" w:after="283"/>
        <w:jc w:val="left"/>
        <w:rPr/>
      </w:pPr>
      <w:r>
        <w:rPr>
          <w:rFonts w:ascii="Times New Roman;serif" w:hAnsi="Times New Roman;serif"/>
          <w:b w:val="false"/>
          <w:i/>
          <w:color w:val="000000"/>
          <w:sz w:val="20"/>
        </w:rPr>
        <w:t>Tax Receivable Agreement</w:t>
      </w:r>
      <w:r>
        <w:rPr>
          <w:color w:val="EE2724"/>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obligated to make payments under the Tax Receivable Agreement. See Note 6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June 30, 2026, total amounts due to Continuing LLC Owners under the Tax Receivable Agreement were $317.5 million, substantially all due to be paid over 15 years following the purchase of LLC Interests from Continuing LLC Owners or redemption or exchanges by Continuing LLC Owners of LLC Interests. As of June 30, 2026, we expect to make tax receivable agreement liability payments of approximately $29.0 million within the next 12 months and approximately $288.5 million thereafter.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Indebtedness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no outstanding indebtedness.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November 21, 2023, TWM LLC entered into a five year, $500.0 million unsecured revolving credit facility (the “2023 Revolving Credit Facility”) with a syndicate of banks, which replaced its $500.0 million secured credit facility entered into on April 8, 2019. Subject to the satisfaction of certain conditions, we will be able to increase the 2023 Revolving Credit Facility by $250.0 million with the consent of the lenders participating in the increase. The 2023 Revolving Credit Facility provides borrowing capacity to be used to fund ongoing working capital needs, letters of credit and for general corporate purposes, including potential future acquisitions and expansions. As of June 30, 2026, there were $0.5 million in letters of credit issued and no borrowings outstanding under the 2023 Revolving Credit Facility. The 2023 Revolving Credit Facility will mature on November 21, 2028.</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 As of June 30, 2026, we were in compliance with all the covenants set forth in the 2023 Revolving Credit 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See “Item 7. Management’s Discussion and Analysis of Financial Condition and Results of Operations – Liquidity and Capital Resources – Factors Influencing Our Liquidity and Capital Resources – Indebtedness” in Part II of our 2025 Form 10-K for additional details regarding the terms, restrictions and covenants applicable to the 2023 Revolving Credit Facility.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Lease Obligations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currently have operating leases for corporate offices and data centers with initial lease terms ranging from one to 16 years. Our operating lease obligations are primarily related to rental payments under lease agreements for office space in the United States and the United Kingdom through May 2041.</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our operating lease liabilities totaled $150.3 million, with payments pursuant to these obligations due within the next 12 months and thereafter totaling $23.6 million and $182.2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business also requires continued investment in our technology for product innovation, proprietary technology architecture, operational reliability and cybersecurity. We expect total cash paid for capital expenditures and software development costs for fiscal year 2026 to be between $107 million and $117 million, compared to expenditures of $103.1 million in fiscal year 2025, with the midpoint of our 2026 capital expenditure guidance up approximately 9% versus fiscal year 2025 primarily driven by platform enhancements, infrastructure modernization and cybersecurity initiatives to support long-term growth.</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also had $5.0 million in unfunded capital commitments to our equity method investment.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Cash and Liquidity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Certain of our U.S. subsidiaries are registered as broker-dealers, SEFs, SBSEFs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June 30, 2026 and December 31, 2025, each of our regulated subsidiaries had maintained sufficient net capital or financial resources to at least satisfy their minimum requirements, which in aggregate were $88.3 million and $90.0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condensed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times, wholesale transactions executed on our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self-clear wholesale U.S. Treasury trades executed by non-FICC members on our platform. The number of self-cleared trades that settle over the fed wire, instead of FICC clearing, may impact the number of U.S. Treasury failed settlement transactions. As of June 30, 2026, we recorded an $11.5 million receivable and a $7.6 million payable from/to brokers and dealers and clearing organizations related to failed settlement transactions and we self-funded the remaining $3.8 million difference between the fail to deliver and fail to receive. All of the failed settlement transactions outstanding as of June 30, 2026 were fully settled during July 2026. See below for further details regarding the changes to working capital as a result of these failed settlement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Canton Coin Lockup Restrictions </w:t>
      </w:r>
    </w:p>
    <w:p>
      <w:pPr>
        <w:pStyle w:val="TextBody"/>
        <w:bidi w:val="0"/>
        <w:spacing w:lineRule="auto" w:line="268" w:before="200" w:after="283"/>
        <w:jc w:val="left"/>
        <w:rPr/>
      </w:pPr>
      <w:r>
        <w:rPr>
          <w:rFonts w:ascii="Times New Roman;serif" w:hAnsi="Times New Roman;serif"/>
          <w:b w:val="false"/>
          <w:color w:val="000000"/>
          <w:sz w:val="20"/>
        </w:rPr>
        <w:t xml:space="preserve">During the second quarter of 2026, the Canton Network implemented a long-term locking and commitment framework for Super Validators (the “Locking Commitment”) designed to align Super Validator incentives with the long-term success of the Canton Network and create visible, on-chain commitment of the Super Validators to the Canton Network. To continue earning Canton Coins for our function as a Super Validator, the Locking Commitment requires Super Validators, including us, to lock a defined percentage of our aggregate lifetime Canton Coins earned for our function as a Super Validator (the “Lifetime Super Validator Coins”). Beginning in the second quarter of 2026, the amount of Super Validator weight assigned to us is based in part on the tiered percentage Locking Commitment we elect. The Locking Commitment percentages step down over time and are scheduled to end in mid-2029. While Canton Coins are locked, they may not be transferred to third parties and once an election to unlock is made, 1/365 of the requested unlock amount becomes liquid each day (the “Canton Coin Lockup Restrictions”). As of June 30, 2026, we have elected Tier 1 of the Locking Commitment framework which allows us to retain 100% of our current Super Validator weight, and, as a result, 70% of our Lifetime Super Validator Coins are subject to the Canton Coin Lockup Restrictions.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June 30, 2026, 1.3 billion Canton Coins valued at $181.6 million were subject to the Canton Coin Lockup Restrictions and may not be transferred to third parties, which could affect our ability to sell these assets, including during periods of price volatility or reduced liquidity.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Working capital is defined as current assets minus current liabilities. Current assets consist of cash and cash equivalents, restricted cash, receivable from brokers and dealers and clearing organizations, deposits with clearing organizations, accounts receivable, receivable and due from related parties and other current assets. Current liabilities consist of, as applicable, securities sold under agreements to repurchase, payable to brokers and dealers and clearing organizations, accrued compensation, deferred revenue, payable and due to related parties,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 and solutions.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working capital as of June 30, 2026 and December 31, 2025 was as follows:</w:t>
      </w:r>
    </w:p>
    <w:tbl>
      <w:tblPr>
        <w:tblW w:w="8556" w:type="dxa"/>
        <w:jc w:val="left"/>
        <w:tblInd w:w="0" w:type="dxa"/>
        <w:tblLayout w:type="fixed"/>
        <w:tblCellMar>
          <w:top w:w="28" w:type="dxa"/>
          <w:left w:w="28" w:type="dxa"/>
          <w:bottom w:w="28" w:type="dxa"/>
          <w:right w:w="28" w:type="dxa"/>
        </w:tblCellMar>
      </w:tblPr>
      <w:tblGrid>
        <w:gridCol w:w="1907"/>
        <w:gridCol w:w="1674"/>
        <w:gridCol w:w="1684"/>
        <w:gridCol w:w="109"/>
        <w:gridCol w:w="109"/>
        <w:gridCol w:w="109"/>
        <w:gridCol w:w="211"/>
        <w:gridCol w:w="976"/>
        <w:gridCol w:w="109"/>
        <w:gridCol w:w="109"/>
        <w:gridCol w:w="109"/>
        <w:gridCol w:w="109"/>
        <w:gridCol w:w="211"/>
        <w:gridCol w:w="976"/>
        <w:gridCol w:w="154"/>
      </w:tblGrid>
      <w:tr>
        <w:trPr/>
        <w:tc>
          <w:tcPr>
            <w:tcW w:w="1907"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brokers and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and 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brokers and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and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1,968,601 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Current Assets</w:t>
      </w:r>
    </w:p>
    <w:p>
      <w:pPr>
        <w:pStyle w:val="TextBody"/>
        <w:bidi w:val="0"/>
        <w:spacing w:lineRule="auto" w:line="288" w:before="200" w:after="283"/>
        <w:jc w:val="left"/>
        <w:rPr/>
      </w:pPr>
      <w:r>
        <w:rPr>
          <w:rFonts w:ascii="Times New Roman;serif" w:hAnsi="Times New Roman;serif"/>
          <w:b w:val="false"/>
          <w:color w:val="000000"/>
          <w:sz w:val="20"/>
        </w:rPr>
        <w:t>Current assets remained flat at $2.5 billion as of both June 30, 2026 and December 31, 2025. There was an increase in accounts receivable resulting from an increase in revenues and timing of collections, which was partially offset by a decrease in cash and cash equivalents primarily due to share repurchases, annual bonus payments, payroll taxes paid on the vesting of stock-based compensation awards and the purchase of transferable tax credits during the six months ended June 30, 2026. See “—</w:t>
      </w:r>
      <w:r>
        <w:rPr>
          <w:rFonts w:ascii="Times New Roman;serif" w:hAnsi="Times New Roman;serif"/>
          <w:b w:val="false"/>
          <w:i/>
          <w:color w:val="000000"/>
          <w:sz w:val="20"/>
        </w:rPr>
        <w:t xml:space="preserve">Cash Flows” </w:t>
      </w:r>
      <w:r>
        <w:rPr>
          <w:rFonts w:ascii="Times New Roman;serif" w:hAnsi="Times New Roman;serif"/>
          <w:b w:val="false"/>
          <w:color w:val="000000"/>
          <w:sz w:val="20"/>
        </w:rPr>
        <w:t xml:space="preserve">below for further discussion of the change in cash and cash equivalents.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Current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decreased to $435.1 million as of June 30, 2026 from $521.4 million as of December 31, 2025 primarily due to a decrease in accrued compensation as a result of annual bonus payments, which occurred during the six months ended June 30, 2026, as well as a decrease in taxes payable as a result of the purchase of transferable tax credits and other tax payments during the six months ended June 30, 2026.</w:t>
      </w:r>
    </w:p>
    <w:p>
      <w:pPr>
        <w:pStyle w:val="TextBody"/>
        <w:bidi w:val="0"/>
        <w:spacing w:lineRule="auto" w:line="288" w:before="200" w:after="283"/>
        <w:jc w:val="left"/>
        <w:rPr/>
      </w:pPr>
      <w:r>
        <w:rPr>
          <w:rFonts w:ascii="Times New Roman;serif" w:hAnsi="Times New Roman;serif"/>
          <w:b w:val="false"/>
          <w:color w:val="000000"/>
          <w:sz w:val="20"/>
        </w:rPr>
        <w:t>See “—</w:t>
      </w:r>
      <w:r>
        <w:rPr>
          <w:rFonts w:ascii="Times New Roman;serif" w:hAnsi="Times New Roman;serif"/>
          <w:b w:val="false"/>
          <w:i/>
          <w:color w:val="000000"/>
          <w:sz w:val="20"/>
        </w:rPr>
        <w:t>Other Cash and Liquidity Requirements</w:t>
      </w:r>
      <w:r>
        <w:rPr>
          <w:color w:val="000000"/>
        </w:rPr>
        <w:t xml:space="preserve">” </w:t>
      </w:r>
      <w:r>
        <w:rPr>
          <w:rFonts w:ascii="Times New Roman;serif" w:hAnsi="Times New Roman;serif"/>
          <w:b w:val="false"/>
          <w:color w:val="000000"/>
          <w:sz w:val="20"/>
        </w:rPr>
        <w:t xml:space="preserve">above for a discussion on how capital requirements can impact our working capital.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cash flows for the six months ended June 30, 2026 and 2025 were as follows:</w:t>
      </w:r>
    </w:p>
    <w:tbl>
      <w:tblPr>
        <w:tblW w:w="9321" w:type="dxa"/>
        <w:jc w:val="left"/>
        <w:tblInd w:w="0" w:type="dxa"/>
        <w:tblLayout w:type="fixed"/>
        <w:tblCellMar>
          <w:top w:w="28" w:type="dxa"/>
          <w:left w:w="28" w:type="dxa"/>
          <w:bottom w:w="28" w:type="dxa"/>
          <w:right w:w="28" w:type="dxa"/>
        </w:tblCellMar>
      </w:tblPr>
      <w:tblGrid>
        <w:gridCol w:w="2291"/>
        <w:gridCol w:w="2017"/>
        <w:gridCol w:w="2022"/>
        <w:gridCol w:w="109"/>
        <w:gridCol w:w="109"/>
        <w:gridCol w:w="109"/>
        <w:gridCol w:w="211"/>
        <w:gridCol w:w="826"/>
        <w:gridCol w:w="109"/>
        <w:gridCol w:w="109"/>
        <w:gridCol w:w="109"/>
        <w:gridCol w:w="109"/>
        <w:gridCol w:w="211"/>
        <w:gridCol w:w="826"/>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consist primarily of net income adjusted for non-cash items that primarily include depreciation and amortization, stock-based compensation expense, digital assets received as revenue, deferred taxes and other income and changes in working capital. Cash flows from operating activities can fluctuate significantly from period-to-period as working capital needs and the timing of payments for accrued compensation (primarily in the first quarter) and other items impact reported 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2026 was $497.9 million, an increase of $28.5 million over the six months ended June 30, 2025, primarily driven by an increase in net income, partially offset by approximately $71 million in cash paid during the six months ended June 30, 2026 for the purchase of transferable tax credits related to our 2025 tax year obligations and other net changes in working capital.</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 consist primarily of software development costs, investments in technology hardware, purchases of equipment and other tangible assets, business acquisitions and investments.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$111.2 million for the six months ended June 30, 2026, which consisted of $56.9 million of cash paid for investments, $36.4 million of capitalized software development costs and $17.9 million of purchases of furniture, equipment, purchased software and leasehold improvements. Net cash used in investing activities was $56.9 million for the six months ended June 30, 2025, which consisted of $29.8 million of capitalized software development costs, $20.0 million of cash paid for investments and $7.1 million of purchases of furniture, equipment, purchased software and leasehold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six months ended June 30, 2026 was $411.3 million, and was primarily driven by $240.5 million in share repurchases pursuant to our share repurchase programs, $82.1 million in payroll tax payments for employee equity awards, net of proceeds from the related stock-based compensation option exercises, $59.5 million in cash dividends to our Class A and Class B common stockholders, $19.0 million in payments due under our Tax Receivable Agreement and $10.0 million in distributions to non-controlling interest holders. Net cash used in financing activities for the six months ended June 30, 2025 was $133.8 million, and was primarily driven by $51.2 million in cash dividends to our Class A and Class B common stockholders, $47.8 million in payroll tax payments for employee equity awards, $21.4 million in payments due under our Tax Receivable Agreement and $12.5 million in distributions to non-controlling interest 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Free Cash Flow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table set forth below presents a reconciliation of our cash flow from operating activities to Free Cash Flow for the six months ended June 30, 2026 and 2025: </w:t>
      </w:r>
    </w:p>
    <w:tbl>
      <w:tblPr>
        <w:tblW w:w="8661" w:type="dxa"/>
        <w:jc w:val="left"/>
        <w:tblInd w:w="0" w:type="dxa"/>
        <w:tblLayout w:type="fixed"/>
        <w:tblCellMar>
          <w:top w:w="28" w:type="dxa"/>
          <w:left w:w="28" w:type="dxa"/>
          <w:bottom w:w="28" w:type="dxa"/>
          <w:right w:w="28" w:type="dxa"/>
        </w:tblCellMar>
      </w:tblPr>
      <w:tblGrid>
        <w:gridCol w:w="2051"/>
        <w:gridCol w:w="1806"/>
        <w:gridCol w:w="1813"/>
        <w:gridCol w:w="109"/>
        <w:gridCol w:w="109"/>
        <w:gridCol w:w="109"/>
        <w:gridCol w:w="211"/>
        <w:gridCol w:w="826"/>
        <w:gridCol w:w="109"/>
        <w:gridCol w:w="109"/>
        <w:gridCol w:w="109"/>
        <w:gridCol w:w="109"/>
        <w:gridCol w:w="211"/>
        <w:gridCol w:w="826"/>
        <w:gridCol w:w="154"/>
      </w:tblGrid>
      <w:tr>
        <w:trPr/>
        <w:tc>
          <w:tcPr>
            <w:tcW w:w="205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Capitalization of software development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furniture, equipment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432,520 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Adjusted EBITDA, Adjusted EBITDA margin, Adjusted EBIT, Adjusted EBIT margin, Adjusted Net Income and Adjusted Diluted EPS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Adjusted EBITDA margin, Adjusted EBIT and Adjusted EBIT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margin is defined as net income, divided by revenue for the applicable period. Adjusted EBITDA margin and Adjusted EBIT margin are defined as Adjusted EBITDA and Adjusted EBIT, respectively, divided by revenue for the applicable period.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in applicable periods,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We also exclude stock-based compensation expense and related payroll taxes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Adjusted Net Income and Adjusted Diluted EPS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set forth below presents a reconciliation of net income and net income margin to Adjusted EBITDA, Adjusted EBITDA margin, Adjusted EBIT and Adjusted EBIT margin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376"/>
        <w:gridCol w:w="1119"/>
        <w:gridCol w:w="1123"/>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3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Merger and acquisition transaction and integration costs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exchange (gains) / losses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receivable agreement liability adjustment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556,115 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(61,487)</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(63,048)</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(125,747)</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D&amp;A related to acquisitions and the Refinitiv Transaction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521,315 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(2)Represents certain non-cash stock-based compensation expense and related payroll taxes, the composition of which may vary each period based on applicable activity. During the three and six months ended June 30, 2026 and 2025, this adjustment includes $0.8 million, $0.6 million, $1.3 million and $1.2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(3)Represents unrealized gain or loss recognized on foreign currency forward contracts and foreign exchange gain or loss from the revaluation of cash denominated in a different currency than the entity’s functional currency.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tbl>
      <w:tblPr>
        <w:tblW w:w="10205" w:type="dxa"/>
        <w:jc w:val="left"/>
        <w:tblInd w:w="0" w:type="dxa"/>
        <w:tblLayout w:type="fixed"/>
        <w:tblCellMar>
          <w:top w:w="28" w:type="dxa"/>
          <w:left w:w="28" w:type="dxa"/>
          <w:bottom w:w="28" w:type="dxa"/>
          <w:right w:w="28" w:type="dxa"/>
        </w:tblCellMar>
      </w:tblPr>
      <w:tblGrid>
        <w:gridCol w:w="351"/>
        <w:gridCol w:w="308"/>
        <w:gridCol w:w="310"/>
        <w:gridCol w:w="109"/>
        <w:gridCol w:w="109"/>
        <w:gridCol w:w="109"/>
        <w:gridCol w:w="255"/>
        <w:gridCol w:w="256"/>
        <w:gridCol w:w="271"/>
        <w:gridCol w:w="109"/>
        <w:gridCol w:w="109"/>
        <w:gridCol w:w="109"/>
        <w:gridCol w:w="255"/>
        <w:gridCol w:w="256"/>
        <w:gridCol w:w="271"/>
        <w:gridCol w:w="109"/>
        <w:gridCol w:w="109"/>
        <w:gridCol w:w="109"/>
        <w:gridCol w:w="243"/>
        <w:gridCol w:w="243"/>
        <w:gridCol w:w="244"/>
        <w:gridCol w:w="109"/>
        <w:gridCol w:w="109"/>
        <w:gridCol w:w="109"/>
        <w:gridCol w:w="329"/>
        <w:gridCol w:w="329"/>
        <w:gridCol w:w="331"/>
        <w:gridCol w:w="109"/>
        <w:gridCol w:w="109"/>
        <w:gridCol w:w="109"/>
        <w:gridCol w:w="255"/>
        <w:gridCol w:w="256"/>
        <w:gridCol w:w="271"/>
        <w:gridCol w:w="109"/>
        <w:gridCol w:w="109"/>
        <w:gridCol w:w="109"/>
        <w:gridCol w:w="255"/>
        <w:gridCol w:w="256"/>
        <w:gridCol w:w="271"/>
        <w:gridCol w:w="109"/>
        <w:gridCol w:w="109"/>
        <w:gridCol w:w="109"/>
        <w:gridCol w:w="243"/>
        <w:gridCol w:w="243"/>
        <w:gridCol w:w="244"/>
        <w:gridCol w:w="109"/>
        <w:gridCol w:w="109"/>
        <w:gridCol w:w="109"/>
        <w:gridCol w:w="302"/>
        <w:gridCol w:w="302"/>
        <w:gridCol w:w="439"/>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Point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Basis Point Change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Point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Basis Point Change </w:t>
            </w:r>
            <w:r>
              <w:rPr>
                <w:rFonts w:ascii="Times New Roman;serif" w:hAnsi="Times New Roman;serif"/>
                <w:b/>
                <w:color w:val="000000"/>
                <w:sz w:val="10"/>
              </w:rPr>
              <w:t>(1)</w:t>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bps</w:t>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bps</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set forth below presents a reconciliation of net income attributable to Tradeweb Markets Inc. and net income, as applicable, to Adjusted Net Income and Adjusted Diluted EPS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19"/>
        <w:gridCol w:w="1320"/>
        <w:gridCol w:w="132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1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per share amounts)</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Tradeweb Markets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302,164 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Net income attributable to non-controlling interests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Merger and acquisition transaction and integration costs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D&amp;A related to acquisitions and the Refinitiv Transaction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(gains) / losses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Tax receivable agreement liability adjustment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Adjusted income taxes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Adjusted Diluted EPS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the reallocation of net income attributable to non-controlling interests from the assumed exchange of all outstanding LLC Interests held by non-controlling interests for shares of Class A or Class B common stock.</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(4)Represents certain non-cash stock-based compensation expense and related payroll taxes, the composition of which may vary each period based on applicable activity. During the three and six months ended June 30, 2026 and 2025, this adjustment includes $0.8 million, $0.6 million, $1.3 million and $1.2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(5)Represents unrealized gain or loss recognized on foreign currency forward contracts and foreign exchange gain or loss from the revaluation of cash denominated in a different currency than the entity’s functional currency.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(7)Represents corporate income taxes at an assumed effective tax rate of 24.0% for the three and six months ended June 30, 2026 and 25.0% for the three and six months ended June 30, 2025, applied to Adjusted Net Income before income taxes.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(8)For a summary of the calculation of Adjusted Diluted EPS, see “Reconciliation of Diluted Weighted Average Shares Outstanding to Adjusted Diluted Weighted Average Shares Outstanding and Adjusted Diluted EPS”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calculation of Adjusted Diluted EPS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338"/>
        <w:gridCol w:w="1165"/>
        <w:gridCol w:w="1168"/>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33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Diluted Weighted Average Shares Outstanding to Adjusted Diluted Weighted Average Shares Outstanding and Adjusted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6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of Class A and Class B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212,795,141 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214,971,946 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213,059,281 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214,934,378 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Weighted average of other participating securities </w:t>
            </w:r>
            <w:r>
              <w:rPr>
                <w:rFonts w:ascii="Times New Roman;serif" w:hAnsi="Times New Roman;serif"/>
                <w:b w:val="false"/>
                <w:color w:val="000000"/>
                <w:sz w:val="13"/>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Assumed exchange of LLC Interests for shares of Class A or Class B common stock</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23,066,571 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235,903,409 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238,197,532 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236,181,006 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238,174,843 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411,840 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 xml:space="preserve">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 </w:t>
      </w:r>
    </w:p>
    <w:p>
      <w:pPr>
        <w:pStyle w:val="TextBody"/>
        <w:bidi w:val="0"/>
        <w:spacing w:lineRule="auto" w:line="288" w:before="0" w:after="0"/>
        <w:ind w:left="0" w:right="0" w:hanging="360"/>
        <w:jc w:val="left"/>
        <w:rPr/>
      </w:pPr>
      <w:r>
        <w:rPr>
          <w:rFonts w:ascii="Times New Roman;serif" w:hAnsi="Times New Roman;serif"/>
          <w:b w:val="false"/>
          <w:color w:val="000000"/>
          <w:sz w:val="16"/>
        </w:rPr>
        <w:t>(2)Assumes the full excha</w:t>
      </w:r>
      <w:r>
        <w:rPr>
          <w:rFonts w:ascii="Times New Roman;serif" w:hAnsi="Times New Roman;serif"/>
          <w:b w:val="false"/>
          <w:color w:val="000000"/>
          <w:sz w:val="16"/>
          <w:shd w:fill="FFFFFF" w:val="clear"/>
        </w:rPr>
        <w:t>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forms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our services, we may earn subscription fees for granting access to our electronic marketplaces. We may also earn transaction fees and/or commissions from transactions executed on our trading platform,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earn fees from LSEG relating to the sale of market data to LSEG, which distributes that data. Included in these fees are real-time market data fees which are recognized monthly on a straight-line basis as LSEG receives and consumes the benefit evenly, over the contract period, as the data is provided, and fees for historical data sets which are recognized when the historical data set is provided to LSEG.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required to make significant judgments for the LSEG market data fees. Significant judgments used in accounting for this contract include the following determinations: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provision of real-time market data feeds and historical data sets are distinct performance obligations.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performance obligations under this contract are recognized over time from the initial delivery of the data feeds until the end of the contract term or at a point in time upon delivery of each historical data set.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each of the three and six months ended June 30, 2026 and 2025, there were no material changes in the methodology or assumptions used to determine the LSEG market data fees.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2026, we granted 113,428 PSUs with a grant date fair value totaling $19.9 million, which will be amortized into expense on a straight-line basis through December 31, 2028. The significant assumptions used in determining the grant date fair value of the award were a maturity of 2.8 years, annualized volatility of 25.33% and a risk-free interest rate of 3.67%. A change in any of the assumptions used to value these awards could materially affect stock-based compensation expense recorded in the current and future periods. During each of the three and six months ended June 30, 2026 and 2025, there were no material changes in the methodology or assumptions used to determine the valuation of our annual PSU grants.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For PRSUs granted in 2024 and after,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June 30, 2026, a 10% decrease in the estimated final share payouts would decrease the total expense recognized for these awards for the three and six months ended June 30, 2026 by approximately $6.3 million.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both June 30, 2026 and December 31, 2025, we had a $3.0 million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5 – Income Taxes to our unaudited condensed consolidated financial statements included elsewhere in this Quarterly Report on Form 10-Q.</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Note 2 – Significant Accounting Policies to the condensed consolidated financial statements included elsewhere in this Quarterly Report on Form 10-Q for a discussion of recent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200" w:after="283"/>
        <w:jc w:val="left"/>
        <w:rPr/>
      </w:pPr>
      <w:r>
        <w:rPr>
          <w:rFonts w:ascii="Times New Roman;serif" w:hAnsi="Times New Roman;serif"/>
          <w:b/>
          <w:i/>
          <w:color w:val="000000"/>
          <w:sz w:val="20"/>
        </w:rPr>
        <w:t>Foreign Currency and Derivative Risk</w:t>
      </w:r>
      <w:r>
        <w:rPr>
          <w:color w:val="EE2724"/>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global operations and substantial portions of our revenues, expenses, assets and liabilities are generated and denominated in non-U.S. dollar currencies.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percentage breakdown of our revenue and operating expenses denominated in currencies other than the U.S. dollar for the three and six months ended June 30, 2026 and 2025:</w:t>
      </w:r>
    </w:p>
    <w:tbl>
      <w:tblPr>
        <w:tblW w:w="8823" w:type="dxa"/>
        <w:jc w:val="left"/>
        <w:tblInd w:w="0" w:type="dxa"/>
        <w:tblLayout w:type="fixed"/>
        <w:tblCellMar>
          <w:top w:w="28" w:type="dxa"/>
          <w:left w:w="28" w:type="dxa"/>
          <w:bottom w:w="28" w:type="dxa"/>
          <w:right w:w="28" w:type="dxa"/>
        </w:tblCellMar>
      </w:tblPr>
      <w:tblGrid>
        <w:gridCol w:w="1849"/>
        <w:gridCol w:w="1621"/>
        <w:gridCol w:w="1630"/>
        <w:gridCol w:w="109"/>
        <w:gridCol w:w="109"/>
        <w:gridCol w:w="109"/>
        <w:gridCol w:w="178"/>
        <w:gridCol w:w="178"/>
        <w:gridCol w:w="178"/>
        <w:gridCol w:w="178"/>
        <w:gridCol w:w="178"/>
        <w:gridCol w:w="178"/>
        <w:gridCol w:w="178"/>
        <w:gridCol w:w="178"/>
        <w:gridCol w:w="178"/>
        <w:gridCol w:w="109"/>
        <w:gridCol w:w="109"/>
        <w:gridCol w:w="109"/>
        <w:gridCol w:w="159"/>
        <w:gridCol w:w="159"/>
        <w:gridCol w:w="161"/>
        <w:gridCol w:w="154"/>
        <w:gridCol w:w="154"/>
        <w:gridCol w:w="154"/>
        <w:gridCol w:w="154"/>
        <w:gridCol w:w="154"/>
        <w:gridCol w:w="218"/>
      </w:tblGrid>
      <w:tr>
        <w:trPr/>
        <w:tc>
          <w:tcPr>
            <w:tcW w:w="184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of revenue denominated in foreign currencies</w:t>
            </w:r>
            <w:r>
              <w:rPr>
                <w:color w:val="000000"/>
              </w:rPr>
              <w:t xml:space="preserv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of operating expenses denominated in foreign currencies</w:t>
            </w:r>
            <w:r>
              <w:rPr>
                <w:color w:val="000000"/>
              </w:rPr>
              <w:t xml:space="preserve">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(1)Revenue in foreign currencies is primarily denominated in euros.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(2)Operating expenses in foreign currencies are primarily denominated in British pounds sterling.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gains/losses from foreign currency remeasurement of transactions in nonfunctional currencies recognized in the condensed consolidated statements of income within general and administrative expense totaled a loss of $0.3 million and a gain of $1.7 million during the three months ended June 30, 2026 and 2025, respectively, and a loss of $1.8 million and a gain of $2.6 million during the six months ended June 30, 2026 and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six months ended June 30, 2026 and 2025:</w:t>
      </w:r>
    </w:p>
    <w:tbl>
      <w:tblPr>
        <w:tblW w:w="6581" w:type="dxa"/>
        <w:jc w:val="left"/>
        <w:tblInd w:w="0" w:type="dxa"/>
        <w:tblLayout w:type="fixed"/>
        <w:tblCellMar>
          <w:top w:w="28" w:type="dxa"/>
          <w:left w:w="28" w:type="dxa"/>
          <w:bottom w:w="28" w:type="dxa"/>
          <w:right w:w="28" w:type="dxa"/>
        </w:tblCellMar>
      </w:tblPr>
      <w:tblGrid>
        <w:gridCol w:w="688"/>
        <w:gridCol w:w="603"/>
        <w:gridCol w:w="613"/>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sterling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change in revenue and operating income caused by fluctuations in foreign currency rates used in translation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812"/>
        <w:gridCol w:w="1592"/>
        <w:gridCol w:w="1597"/>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6"/>
      </w:tblGrid>
      <w:tr>
        <w:trPr/>
        <w:tc>
          <w:tcPr>
            <w:tcW w:w="181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0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Impact of Foreign Currency Rate Fluctuations (dollars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0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221"/>
        <w:gridCol w:w="1072"/>
        <w:gridCol w:w="1079"/>
        <w:gridCol w:w="109"/>
        <w:gridCol w:w="109"/>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109"/>
        <w:gridCol w:w="109"/>
        <w:gridCol w:w="109"/>
        <w:gridCol w:w="211"/>
        <w:gridCol w:w="721"/>
        <w:gridCol w:w="162"/>
      </w:tblGrid>
      <w:tr>
        <w:trPr/>
        <w:tc>
          <w:tcPr>
            <w:tcW w:w="122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7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Hypothetical 10% Change in Value of U.S. Dollar (dollars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r>
      <w:tr>
        <w:trPr/>
        <w:tc>
          <w:tcPr>
            <w:tcW w:w="33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All currencies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10% change on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10% change on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Euros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10% change 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10% change on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British pound sterling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10% change 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10% change on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derivative risk relating to our foreign exchange derivative contracts. We enter into foreign currency forward contracts to mitigate our U.S. dollar and British pound sterling versus euro exposure, generally with a duration of not more than 12 months. We do not use derivative instruments for trading or speculative purposes. As of June 30, 2026 and December 31, 2025, the notional amount of our foreign currency forward contracts was $357.5 million and $339.8 million, respectively. Realized and unrealized gains/losses on foreign currency forward contracts totaled a gain of $4.7 million and a loss of $14.5 million during the three months ended June 30, 2026 and 2025, respectively, and a gain of $10.2 million and a loss of $20.8 million during the six months ended June 30, 2026 and 2025, respectively.</w:t>
      </w:r>
    </w:p>
    <w:p>
      <w:pPr>
        <w:pStyle w:val="TextBody"/>
        <w:bidi w:val="0"/>
        <w:spacing w:lineRule="auto" w:line="288" w:before="200" w:after="283"/>
        <w:jc w:val="left"/>
        <w:rPr/>
      </w:pPr>
      <w:r>
        <w:rPr>
          <w:rFonts w:ascii="Times New Roman;serif" w:hAnsi="Times New Roman;serif"/>
          <w:b w:val="false"/>
          <w:color w:val="000000"/>
          <w:sz w:val="20"/>
        </w:rPr>
        <w:t xml:space="preserve">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and December 31, 2025</w:t>
      </w:r>
      <w:r>
        <w:rPr>
          <w:rFonts w:ascii="Times New Roman;serif" w:hAnsi="Times New Roman;serif"/>
          <w:b w:val="false"/>
          <w:color w:val="000000"/>
          <w:sz w:val="20"/>
          <w:shd w:fill="FFFFFF" w:val="clear"/>
        </w:rPr>
        <w:t xml:space="preserve">, the counterparty on each of the </w:t>
      </w:r>
      <w:r>
        <w:rPr>
          <w:rFonts w:ascii="Times New Roman;serif" w:hAnsi="Times New Roman;serif"/>
          <w:b w:val="false"/>
          <w:color w:val="000000"/>
          <w:sz w:val="20"/>
        </w:rPr>
        <w:t>foreign exchange derivative contracts</w:t>
      </w:r>
      <w:r>
        <w:rPr>
          <w:color w:val="000000"/>
          <w:shd w:fill="FFFFFF" w:val="clear"/>
        </w:rPr>
        <w:t xml:space="preserve"> </w:t>
      </w:r>
      <w:r>
        <w:rPr>
          <w:rFonts w:ascii="Times New Roman;serif" w:hAnsi="Times New Roman;serif"/>
          <w:b w:val="false"/>
          <w:color w:val="000000"/>
          <w:sz w:val="20"/>
          <w:shd w:fill="FFFFFF" w:val="clear"/>
        </w:rPr>
        <w:t>was an affiliate of LSEG.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 </w:t>
      </w:r>
    </w:p>
    <w:p>
      <w:pPr>
        <w:pStyle w:val="TextBody"/>
        <w:bidi w:val="0"/>
        <w:spacing w:lineRule="auto" w:line="288" w:before="200" w:after="283"/>
        <w:jc w:val="left"/>
        <w:rPr/>
      </w:pPr>
      <w:r>
        <w:rPr>
          <w:rFonts w:ascii="Times New Roman;serif" w:hAnsi="Times New Roman;serif"/>
          <w:b w:val="false"/>
          <w:color w:val="000000"/>
          <w:sz w:val="20"/>
        </w:rPr>
        <w:t xml:space="preserve">We have credit risk relating to our receivables, which are primarily receivables from financial institutions, including investment managers and brokers and dealers. As of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allowance for credit losses with regard to these receivables totaled $0.2 million and $0.6 million,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 </w:t>
      </w:r>
    </w:p>
    <w:p>
      <w:pPr>
        <w:pStyle w:val="TextBody"/>
        <w:bidi w:val="0"/>
        <w:spacing w:lineRule="auto" w:line="288" w:before="200" w:after="283"/>
        <w:jc w:val="left"/>
        <w:rPr/>
      </w:pPr>
      <w:r>
        <w:rPr>
          <w:rFonts w:ascii="Times New Roman;serif" w:hAnsi="Times New Roman;serif"/>
          <w:b w:val="false"/>
          <w:color w:val="000000"/>
          <w:sz w:val="20"/>
        </w:rPr>
        <w:t xml:space="preserve">We also have credit risk relating to our investments in a digital asset loan receivable and available-for-sale debt securities. As of December 31, 2025, the Company maintained an allowance for credit loss with regards to its digital asset loan receivable totaling $0.2 million, based on a review of the credit risk of the counterparty and the characteristics of the arrangement. In January 2026, upon CNTN shareholder approval for the issuance of the PFWs, the digital asset loan receivable and the related allowance for credit loss were reversed, resulting in a reversal of credit loss expense totaling $0.2 million during the six months ended June 30, 2026. See Note 10 – Fair Value of Financial Instruments and Other Assets to our unaudited condensed consolidated financial statements included elsewhere in this Quarterly Report on Form 10-Q. There was no allowance for credit losses recorded on available-for-sale debt securities as of June 30, 2026 and </w:t>
      </w:r>
      <w:r>
        <w:rPr>
          <w:rFonts w:ascii="Times New Roman;serif" w:hAnsi="Times New Roman;serif"/>
          <w:b w:val="false"/>
          <w:color w:val="000000"/>
          <w:sz w:val="20"/>
          <w:shd w:fill="FFFFFF" w:val="clear"/>
        </w:rPr>
        <w:t>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management has evaluated, under the supervision of our Chief Executive Officer (“CEO”) and Chief Financial Officer (“CFO”), the effectiveness of our disclosure controls and procedures, as defined in Rule 13a</w:t>
        <w:noBreakHyphen/>
        <w:t>15(e) of the Exchange Act, as of the end of the period covered by this Quarterly Report on Form 10</w:t>
        <w:noBreakHyphen/>
        <w:t>Q. Based on that evaluation, our CEO and CFO have concluded that our disclosure controls and procedures as of the end of the period covered by this Quarterly Report on Form 10</w:t>
        <w:noBreakHyphen/>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during the quarter ended June 30, 2026 that have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pPr>
      <w:r>
        <w:rPr>
          <w:rFonts w:ascii="Times New Roman;serif" w:hAnsi="Times New Roman;serif"/>
          <w:b w:val="false"/>
          <w:color w:val="000000"/>
          <w:sz w:val="20"/>
        </w:rPr>
        <w:t xml:space="preserve">Except as set forth in </w:t>
      </w:r>
      <w:hyperlink w:anchor="i1a01a6712f254c13b5fc458d19e3331b_79">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color w:val="000000"/>
          <w:sz w:val="20"/>
        </w:rPr>
        <w:t xml:space="preserve">to the condensed consolidated financial statements included elsewhere in this Quarterly Report on Form 10-Q, there have been no material changes from the legal proceedings previously disclosed under the heading “Item 3. Legal Proceedings” in Part I of our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pPr>
      <w:r>
        <w:rPr>
          <w:rFonts w:ascii="Times New Roman;serif" w:hAnsi="Times New Roman;serif"/>
          <w:b w:val="false"/>
          <w:color w:val="000000"/>
          <w:sz w:val="20"/>
        </w:rPr>
        <w:t>There have been no material changes to our principal risks that we believe are material to our business, results of operations and financial condition, from the risk factors previously disclosed in “Item 1A. Risk Factors” in Part I of our 2025 Form 10-K</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Issuer Purchases of Equity Securities </w:t>
      </w:r>
    </w:p>
    <w:p>
      <w:pPr>
        <w:pStyle w:val="TextBody"/>
        <w:bidi w:val="0"/>
        <w:spacing w:lineRule="auto" w:line="288" w:before="200" w:after="283"/>
        <w:jc w:val="left"/>
        <w:rPr/>
      </w:pPr>
      <w:r>
        <w:rPr>
          <w:rFonts w:ascii="Times New Roman;serif" w:hAnsi="Times New Roman;serif"/>
          <w:b w:val="false"/>
          <w:color w:val="000000"/>
          <w:sz w:val="20"/>
        </w:rPr>
        <w:t>During the</w:t>
      </w:r>
      <w:r>
        <w:rPr>
          <w:color w:val="000000"/>
        </w:rPr>
        <w:t xml:space="preserve"> </w:t>
      </w:r>
      <w:r>
        <w:rPr>
          <w:rFonts w:ascii="Times New Roman;serif" w:hAnsi="Times New Roman;serif"/>
          <w:b w:val="false"/>
          <w:color w:val="000000"/>
          <w:sz w:val="20"/>
        </w:rPr>
        <w:t xml:space="preserve">three months ended June 30, 2026, we repurchased the following shares of Class A common stock pursuant to the Company’s share repurchase programs: </w:t>
      </w:r>
    </w:p>
    <w:tbl>
      <w:tblPr>
        <w:tblW w:w="10205" w:type="dxa"/>
        <w:jc w:val="left"/>
        <w:tblInd w:w="0" w:type="dxa"/>
        <w:tblLayout w:type="fixed"/>
        <w:tblCellMar>
          <w:top w:w="28" w:type="dxa"/>
          <w:left w:w="28" w:type="dxa"/>
          <w:bottom w:w="28" w:type="dxa"/>
          <w:right w:w="28" w:type="dxa"/>
        </w:tblCellMar>
      </w:tblPr>
      <w:tblGrid>
        <w:gridCol w:w="382"/>
        <w:gridCol w:w="336"/>
        <w:gridCol w:w="341"/>
        <w:gridCol w:w="109"/>
        <w:gridCol w:w="109"/>
        <w:gridCol w:w="109"/>
        <w:gridCol w:w="732"/>
        <w:gridCol w:w="415"/>
        <w:gridCol w:w="416"/>
        <w:gridCol w:w="109"/>
        <w:gridCol w:w="109"/>
        <w:gridCol w:w="109"/>
        <w:gridCol w:w="276"/>
        <w:gridCol w:w="808"/>
        <w:gridCol w:w="142"/>
        <w:gridCol w:w="109"/>
        <w:gridCol w:w="109"/>
        <w:gridCol w:w="109"/>
        <w:gridCol w:w="996"/>
        <w:gridCol w:w="710"/>
        <w:gridCol w:w="712"/>
        <w:gridCol w:w="109"/>
        <w:gridCol w:w="109"/>
        <w:gridCol w:w="109"/>
        <w:gridCol w:w="455"/>
        <w:gridCol w:w="1781"/>
        <w:gridCol w:w="234"/>
        <w:gridCol w:w="161"/>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Approximate Dollar Value of Shares That May Yet Be Purchased Under the Plans or Programs </w:t>
            </w:r>
            <w:r>
              <w:rPr>
                <w:rFonts w:ascii="Times New Roman;serif" w:hAnsi="Times New Roman;serif"/>
                <w:b/>
                <w:color w:val="000000"/>
                <w:sz w:val="10"/>
              </w:rPr>
              <w:t>(1)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523,237 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590,638 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590,638 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463,254 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1,317,670 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1,317,670 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334,290 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1,908,308 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1,908,308 </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 December 5, 2022, our board of directors authorized the 2022 Share Repurchase Program for the purchase of up to $300.0 million of our Class A common stock, after completing in October 2022, the $150.0 million of total repurchases of Class A common stock authorized under our previous share repurchase program. As of June 30, 2026, no shares remained available for repurchase pursuant to the 2022 Share Repurchase Program.</w:t>
      </w:r>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On February 5, 2026, our board of directors authorized the 2026 Share Repurchase Program for the purchase of up to $500.0 million of our Class A common stock, which became available once the 2022 Share Repurchase Program was exhausted. As of June 30, 2026, $334.3 million remained available for repurchase pursuant to the 2026 Share Repurchase Program.</w:t>
      </w:r>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Our share repurchase programs authorize the repurchase of shares of the Company’s Class A common stock to offset annual dilution from stock-based compensation plans, as well as to opportunistically repurchase our Class A common stock. Pursuant to these share repurchase programs, we may make repurchases in the open market, through privately negotiated transactions, through accelerated repurchase programs (including through the use of derivatives), pursuant to Rule 10b5-1 plans or through enhanced open-market repurchases (eOMR). Any share repurchases are conducted in compliance with applicable legal requirements and the manner, timing and amount of any repurchases are based on an evaluation of market conditions, stock price and other factors. Our share repurchase programs do not require the Company to acquire a specific number of shares, have no termination date and may be suspended, amended or discontinued at any time. </w:t>
      </w:r>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Each share of Class A common stock repurchased pursuant to our share repurchase programs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above does not reflect shares surrendered to cover the payroll tax withholding obligations upon the exercise of stock options and vesting of PRSUs, PSUs and RSUs. During the three months ended June 30, 2026, the Company withheld 1,499 shares of Class A common stock in connection with such exercises and vesting of stock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rPr>
        <w:t>None.</w:t>
      </w:r>
    </w:p>
    <w:p>
      <w:pPr>
        <w:pStyle w:val="TextBody"/>
        <w:bidi w:val="0"/>
        <w:spacing w:lineRule="auto" w:line="288" w:before="200" w:after="283"/>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rPr>
        <w:t>None.</w:t>
      </w:r>
    </w:p>
    <w:p>
      <w:pPr>
        <w:pStyle w:val="TextBody"/>
        <w:bidi w:val="0"/>
        <w:spacing w:lineRule="auto" w:line="288" w:before="200" w:after="283"/>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rPr>
        <w:t>Securities Trading Plans of Executive Officers and Director</w:t>
      </w:r>
      <w:r>
        <w:rPr>
          <w:rFonts w:ascii="Times New Roman;serif" w:hAnsi="Times New Roman;serif"/>
          <w:b w:val="false"/>
          <w:color w:val="000000"/>
          <w:sz w:val="20"/>
        </w:rPr>
        <w: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June 30, 2026.</w:t>
      </w:r>
    </w:p>
    <w:tbl>
      <w:tblPr>
        <w:tblW w:w="10205" w:type="dxa"/>
        <w:jc w:val="left"/>
        <w:tblInd w:w="0" w:type="dxa"/>
        <w:tblLayout w:type="fixed"/>
        <w:tblCellMar>
          <w:top w:w="28" w:type="dxa"/>
          <w:left w:w="28" w:type="dxa"/>
          <w:bottom w:w="28" w:type="dxa"/>
          <w:right w:w="28" w:type="dxa"/>
        </w:tblCellMar>
      </w:tblPr>
      <w:tblGrid>
        <w:gridCol w:w="500"/>
        <w:gridCol w:w="230"/>
        <w:gridCol w:w="214"/>
        <w:gridCol w:w="259"/>
        <w:gridCol w:w="259"/>
        <w:gridCol w:w="263"/>
        <w:gridCol w:w="171"/>
        <w:gridCol w:w="171"/>
        <w:gridCol w:w="172"/>
        <w:gridCol w:w="2610"/>
        <w:gridCol w:w="2160"/>
        <w:gridCol w:w="2167"/>
        <w:gridCol w:w="298"/>
        <w:gridCol w:w="298"/>
        <w:gridCol w:w="433"/>
      </w:tblGrid>
      <w:tr>
        <w:trPr/>
        <w:tc>
          <w:tcPr>
            <w:tcW w:w="5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Name and Title</w:t>
            </w:r>
          </w:p>
        </w:tc>
        <w:tc>
          <w:tcPr>
            <w:tcW w:w="78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Action</w:t>
            </w:r>
          </w:p>
        </w:tc>
        <w:tc>
          <w:tcPr>
            <w:tcW w:w="5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693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Purchased or Sold</w:t>
            </w:r>
          </w:p>
        </w:tc>
        <w:tc>
          <w:tcPr>
            <w:tcW w:w="102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 xml:space="preserve">Scheduled Expiration Date </w:t>
            </w:r>
            <w:r>
              <w:rPr>
                <w:rFonts w:ascii="Times New Roman;serif" w:hAnsi="Times New Roman;serif"/>
                <w:b/>
                <w:color w:val="000000"/>
                <w:sz w:val="13"/>
              </w:rPr>
              <w:t>(1)</w:t>
            </w:r>
          </w:p>
        </w:tc>
      </w:tr>
      <w:tr>
        <w:trPr/>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Troy Dixon</w:t>
            </w:r>
          </w:p>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Managing Director, Co-Head of Global Markets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Adoption</w:t>
            </w:r>
          </w:p>
        </w:tc>
        <w:tc>
          <w:tcPr>
            <w:tcW w:w="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6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Sale of up to 3,130 shares of Class A common stock.</w:t>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16, 2027</w:t>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Douglas Friedman</w:t>
            </w:r>
          </w:p>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Chief Legal Officer</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Adoption</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693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Sale of an amount equal to up to (A) (i) 5,971 shares of Class A common stock to be issued upon the vesting on January 1, 2027 of previously awarded performance-based restricted stock units, plus (ii) the number of shares issued upon vesting on January 1, 2027 in settlement of dividend equivalent rights in respect of the 5,971 shares subject to the performance-based restricted stock units that accrued during the award’s vesting period of January 1, 2024 – January 1, 2027, pursuant to the terms of the award agreement and to be determined on the vesting date, less (iii) the number of shares withheld for taxes, to be determined on the vesting date; plus (B) (i) 1,990 shares of Class A common stock to be issued upon the vesting on March 15, 2027 of previously awarded restricted stock units, plus (ii) the number of shares issued upon vesting on March 15, 2027 in settlement of dividend equivalent rights in respect of the 1,990 shares subject to the restricted stock units that accrued during the award’s vesting period of March 15, 2024 – March 15, 2027, pursuant to the terms of the award agreement and to be determined on the vesting date, less (iii) the number of shares withheld for taxes, to be determined on the vesting date; plus (C) (i) 2,170 shares of Class A common stock to be issued upon the vesting on March 15, 2027 of previously awarded restricted stock units, plus (ii) the number of shares issued upon vesting on March 15, 2027 in settlement of dividend equivalent rights in respect of the 2,170 shares subject to the restricted stock units that accrued during the award’s vesting period of March 15, 2026 – March 15, 2027, pursuant to the terms of the award agreement and to be determined on the vesting date, less (iii) the number of shares withheld for taxes, to be determined on the vesting date; plus (D) (i) 1,211 shares of Class A common stock to be issued upon vesting on March 17, 2027 of previously awarded restricted stock units, plus (ii) the number of shares issued upon vesting on March 17, 2027 in settlement of dividend equivalent rights in respect of the 1,211 shares subject to the restricted stock units that accrued during the award’s vesting period of March 17, 2025 – March 17, 2027, pursuant to the terms of the award agreement and to be determined on the vesting date, less (iii) the number of shares withheld for taxes, to be determined on the vesting date.</w:t>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15, 2027</w:t>
            </w:r>
          </w:p>
        </w:tc>
      </w:tr>
    </w:tbl>
    <w:p>
      <w:pPr>
        <w:pStyle w:val="TextBody"/>
        <w:bidi w:val="0"/>
        <w:spacing w:lineRule="auto" w:line="276"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 each case, the Rule 10b5-1 trading arrangement may also expire on such earlier date as all such transactions under the trading arrangement are completed or at such time as such trading arrangement is otherwise terminated in accordance with its terms.</w: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executive officers adopted, modified or terminated a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519"/>
        <w:gridCol w:w="2519"/>
        <w:gridCol w:w="356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356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Restated Certificate of Incorporation of Tradeweb Markets Inc. (incorporated by reference to Exhibit 3.2 to the Company’s Current Report on Form 8-K filed on May</w:t>
              </w:r>
            </w:hyperlink>
            <w:hyperlink r:id="rId3">
              <w:r>
                <w:rPr>
                  <w:rStyle w:val="InternetLink"/>
                  <w:rFonts w:ascii="Times New Roman;serif" w:hAnsi="Times New Roman;serif"/>
                  <w:b w:val="false"/>
                  <w:color w:val="000080"/>
                  <w:sz w:val="20"/>
                  <w:u w:val="single"/>
                </w:rPr>
                <w:t xml:space="preserve"> </w:t>
              </w:r>
            </w:hyperlink>
            <w:hyperlink r:id="rId4">
              <w:r>
                <w:rPr>
                  <w:rStyle w:val="InternetLink"/>
                  <w:rFonts w:ascii="Times New Roman;serif" w:hAnsi="Times New Roman;serif"/>
                  <w:b w:val="false"/>
                  <w:color w:val="000080"/>
                  <w:sz w:val="20"/>
                  <w:u w:val="single"/>
                </w:rPr>
                <w:t>20</w:t>
              </w:r>
            </w:hyperlink>
            <w:hyperlink r:id="rId5">
              <w:r>
                <w:rPr>
                  <w:rStyle w:val="InternetLink"/>
                  <w:rFonts w:ascii="Times New Roman;serif" w:hAnsi="Times New Roman;serif"/>
                  <w:b w:val="false"/>
                  <w:color w:val="000080"/>
                  <w:sz w:val="20"/>
                  <w:u w:val="single"/>
                </w:rPr>
                <w:t xml:space="preserve">, 2026 (File No. </w:t>
              </w:r>
            </w:hyperlink>
            <w:hyperlink r:id="rId6">
              <w:r>
                <w:rPr>
                  <w:rStyle w:val="InternetLink"/>
                  <w:rFonts w:ascii="Times New Roman;serif" w:hAnsi="Times New Roman;serif"/>
                  <w:b w:val="false"/>
                  <w:color w:val="000080"/>
                  <w:sz w:val="20"/>
                  <w:u w:val="single"/>
                </w:rPr>
                <w:t>001-38860</w:t>
              </w:r>
            </w:hyperlink>
            <w:hyperlink r:id="rId7">
              <w:r>
                <w:rPr>
                  <w:rStyle w:val="InternetLink"/>
                  <w:rFonts w:ascii="Times New Roman;serif" w:hAnsi="Times New Roman;serif"/>
                  <w:b w:val="false"/>
                  <w:color w:val="000080"/>
                  <w:sz w:val="20"/>
                  <w:u w:val="single"/>
                </w:rPr>
                <w:t>)).</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Amended and Restated Bylaws of Tradeweb Markets Inc., effective April 29, 2026</w:t>
              </w:r>
            </w:hyperlink>
            <w:hyperlink r:id="rId9">
              <w:r>
                <w:rPr>
                  <w:rStyle w:val="InternetLink"/>
                  <w:rFonts w:ascii="Times New Roman;serif" w:hAnsi="Times New Roman;serif"/>
                  <w:b w:val="false"/>
                  <w:color w:val="000080"/>
                  <w:sz w:val="20"/>
                  <w:u w:val="single"/>
                </w:rPr>
                <w:t xml:space="preserve"> </w:t>
              </w:r>
            </w:hyperlink>
            <w:hyperlink r:id="rId10">
              <w:r>
                <w:rPr>
                  <w:rStyle w:val="InternetLink"/>
                  <w:rFonts w:ascii="Times New Roman;serif" w:hAnsi="Times New Roman;serif"/>
                  <w:b w:val="false"/>
                  <w:color w:val="000080"/>
                  <w:sz w:val="20"/>
                  <w:u w:val="single"/>
                </w:rPr>
                <w:t>(incorporated by reference to Exhibit 3.2 to the Company</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 xml:space="preserve">s Form 10-Q </w:t>
              </w:r>
            </w:hyperlink>
            <w:hyperlink r:id="rId13">
              <w:r>
                <w:rPr>
                  <w:rStyle w:val="InternetLink"/>
                  <w:rFonts w:ascii="Times New Roman;serif" w:hAnsi="Times New Roman;serif"/>
                  <w:b w:val="false"/>
                  <w:color w:val="000080"/>
                  <w:sz w:val="20"/>
                  <w:u w:val="single"/>
                </w:rPr>
                <w:t>filed on April 29, 2026 (File No.</w:t>
              </w:r>
            </w:hyperlink>
            <w:hyperlink r:id="rId14">
              <w:r>
                <w:rPr>
                  <w:rStyle w:val="InternetLink"/>
                  <w:rFonts w:ascii="Times New Roman;serif" w:hAnsi="Times New Roman;serif"/>
                  <w:b w:val="false"/>
                  <w:color w:val="000080"/>
                  <w:sz w:val="20"/>
                  <w:u w:val="single"/>
                </w:rPr>
                <w:t xml:space="preserve"> </w:t>
              </w:r>
            </w:hyperlink>
            <w:hyperlink r:id="rId15">
              <w:r>
                <w:rPr>
                  <w:rStyle w:val="InternetLink"/>
                  <w:rFonts w:ascii="Times New Roman;serif" w:hAnsi="Times New Roman;serif"/>
                  <w:b w:val="false"/>
                  <w:color w:val="000080"/>
                  <w:sz w:val="20"/>
                  <w:u w:val="single"/>
                </w:rPr>
                <w:t>001-38860</w:t>
              </w:r>
            </w:hyperlink>
            <w:hyperlink r:id="rId16">
              <w:r>
                <w:rPr>
                  <w:rStyle w:val="InternetLink"/>
                  <w:rFonts w:ascii="Times New Roman;serif" w:hAnsi="Times New Roman;serif"/>
                  <w:b w:val="false"/>
                  <w:color w:val="000080"/>
                  <w:sz w:val="20"/>
                  <w:u w:val="single"/>
                </w:rPr>
                <w:t>)).</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m-2026x06x30xexx311.htm">
              <w:r>
                <w:rPr>
                  <w:rStyle w:val="InternetLink"/>
                  <w:rFonts w:ascii="Times New Roman;serif" w:hAnsi="Times New Roman;serif"/>
                  <w:b w:val="false"/>
                  <w:color w:val="0000FF"/>
                  <w:sz w:val="20"/>
                  <w:u w:val="single"/>
                </w:rPr>
                <w:t>Certification of Chief Executive Officer pursuant to Rule 13a</w:t>
                <w:noBreakHyphen/>
                <w:t>14(a) or 15d</w:t>
                <w:noBreakHyphen/>
                <w:t>14(a) of the Securities Exchange Act of 1934, as amended, as adopted pursuant to Section 302 of the Sarbanes-Oxley Act of 2002.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m-2026x06x30xexx312.htm">
              <w:r>
                <w:rPr>
                  <w:rStyle w:val="InternetLink"/>
                  <w:rFonts w:ascii="Times New Roman;serif" w:hAnsi="Times New Roman;serif"/>
                  <w:b w:val="false"/>
                  <w:color w:val="0000FF"/>
                  <w:sz w:val="20"/>
                  <w:u w:val="single"/>
                </w:rPr>
                <w:t>Certification of Chief Financial Officer pursuant to Rule 13a</w:t>
                <w:noBreakHyphen/>
                <w:t>14(a) or 15d</w:t>
                <w:noBreakHyphen/>
                <w:t>14(a) of the Securities Exchange Act of 1934, as amended, as adopted pursuant to Section 302 of the Sarbanes-Oxley Act of 2002.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m-2026x06x30xex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m-2026x06x30x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tbl>
      <w:tblPr>
        <w:tblW w:w="2143" w:type="dxa"/>
        <w:jc w:val="left"/>
        <w:tblInd w:w="0" w:type="dxa"/>
        <w:tblLayout w:type="fixed"/>
        <w:tblCellMar>
          <w:top w:w="28" w:type="dxa"/>
          <w:left w:w="28" w:type="dxa"/>
          <w:bottom w:w="28" w:type="dxa"/>
          <w:right w:w="28" w:type="dxa"/>
        </w:tblCellMar>
      </w:tblPr>
      <w:tblGrid>
        <w:gridCol w:w="141"/>
        <w:gridCol w:w="124"/>
        <w:gridCol w:w="124"/>
        <w:gridCol w:w="514"/>
        <w:gridCol w:w="514"/>
        <w:gridCol w:w="726"/>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89"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89"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89"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a01a6712f254c13b5fc458d19e333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50" w:type="dxa"/>
        <w:jc w:val="left"/>
        <w:tblInd w:w="0" w:type="dxa"/>
        <w:tblLayout w:type="fixed"/>
        <w:tblCellMar>
          <w:top w:w="28" w:type="dxa"/>
          <w:left w:w="28" w:type="dxa"/>
          <w:bottom w:w="28" w:type="dxa"/>
          <w:right w:w="28" w:type="dxa"/>
        </w:tblCellMar>
      </w:tblPr>
      <w:tblGrid>
        <w:gridCol w:w="443"/>
        <w:gridCol w:w="390"/>
        <w:gridCol w:w="396"/>
        <w:gridCol w:w="427"/>
        <w:gridCol w:w="427"/>
        <w:gridCol w:w="427"/>
        <w:gridCol w:w="1297"/>
        <w:gridCol w:w="1297"/>
        <w:gridCol w:w="1846"/>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TRADEWEB MARKETS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57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Hult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Hult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572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Sara Furber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 Furber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Hult,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fiscal quarter ended June 30, 2026 of Tradeweb Markets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tbl>
      <w:tblPr>
        <w:tblW w:w="3298" w:type="dxa"/>
        <w:jc w:val="left"/>
        <w:tblInd w:w="0" w:type="dxa"/>
        <w:tblLayout w:type="fixed"/>
        <w:tblCellMar>
          <w:top w:w="28" w:type="dxa"/>
          <w:left w:w="28" w:type="dxa"/>
          <w:bottom w:w="28" w:type="dxa"/>
          <w:right w:w="28" w:type="dxa"/>
        </w:tblCellMar>
      </w:tblPr>
      <w:tblGrid>
        <w:gridCol w:w="443"/>
        <w:gridCol w:w="390"/>
        <w:gridCol w:w="396"/>
        <w:gridCol w:w="603"/>
        <w:gridCol w:w="603"/>
        <w:gridCol w:w="863"/>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Hult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Hult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Sara Furber,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fiscal quarter ended June 30, 2026 of Tradeweb Markets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tbl>
      <w:tblPr>
        <w:tblW w:w="3239" w:type="dxa"/>
        <w:jc w:val="left"/>
        <w:tblInd w:w="0" w:type="dxa"/>
        <w:tblLayout w:type="fixed"/>
        <w:tblCellMar>
          <w:top w:w="28" w:type="dxa"/>
          <w:left w:w="28" w:type="dxa"/>
          <w:bottom w:w="28" w:type="dxa"/>
          <w:right w:w="28" w:type="dxa"/>
        </w:tblCellMar>
      </w:tblPr>
      <w:tblGrid>
        <w:gridCol w:w="443"/>
        <w:gridCol w:w="390"/>
        <w:gridCol w:w="396"/>
        <w:gridCol w:w="589"/>
        <w:gridCol w:w="589"/>
        <w:gridCol w:w="83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Sara Furber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 Furber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Tradeweb Markets Inc. (the “Company”) for the fiscal quarter ended June 30, 2026,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240" w:after="283"/>
        <w:jc w:val="left"/>
        <w:rPr/>
      </w:pPr>
      <w:r>
        <w:rPr/>
      </w:r>
    </w:p>
    <w:tbl>
      <w:tblPr>
        <w:tblW w:w="3298" w:type="dxa"/>
        <w:jc w:val="left"/>
        <w:tblInd w:w="0" w:type="dxa"/>
        <w:tblLayout w:type="fixed"/>
        <w:tblCellMar>
          <w:top w:w="28" w:type="dxa"/>
          <w:left w:w="28" w:type="dxa"/>
          <w:bottom w:w="28" w:type="dxa"/>
          <w:right w:w="28" w:type="dxa"/>
        </w:tblCellMar>
      </w:tblPr>
      <w:tblGrid>
        <w:gridCol w:w="443"/>
        <w:gridCol w:w="390"/>
        <w:gridCol w:w="396"/>
        <w:gridCol w:w="603"/>
        <w:gridCol w:w="603"/>
        <w:gridCol w:w="863"/>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Hult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Hult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Tradeweb Markets Inc. (the “Company”) for the fiscal quarter ended June 30, 2026,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240" w:after="283"/>
        <w:jc w:val="left"/>
        <w:rPr/>
      </w:pPr>
      <w:r>
        <w:rPr/>
      </w:r>
    </w:p>
    <w:tbl>
      <w:tblPr>
        <w:tblW w:w="3239" w:type="dxa"/>
        <w:jc w:val="left"/>
        <w:tblInd w:w="0" w:type="dxa"/>
        <w:tblLayout w:type="fixed"/>
        <w:tblCellMar>
          <w:top w:w="28" w:type="dxa"/>
          <w:left w:w="28" w:type="dxa"/>
          <w:bottom w:w="28" w:type="dxa"/>
          <w:right w:w="28" w:type="dxa"/>
        </w:tblCellMar>
      </w:tblPr>
      <w:tblGrid>
        <w:gridCol w:w="443"/>
        <w:gridCol w:w="390"/>
        <w:gridCol w:w="396"/>
        <w:gridCol w:w="589"/>
        <w:gridCol w:w="589"/>
        <w:gridCol w:w="83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 Furber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 Furber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8730/000175873026000116/tw-2026x8kxex32coi.htm" TargetMode="External"/><Relationship Id="rId3" Type="http://schemas.openxmlformats.org/officeDocument/2006/relationships/hyperlink" Target="https://www.sec.gov/Archives/edgar/data/1758730/000175873026000116/tw-2026x8kxex32coi.htm" TargetMode="External"/><Relationship Id="rId4" Type="http://schemas.openxmlformats.org/officeDocument/2006/relationships/hyperlink" Target="https://www.sec.gov/Archives/edgar/data/1758730/000175873026000116/tw-2026x8kxex32coi.htm" TargetMode="External"/><Relationship Id="rId5" Type="http://schemas.openxmlformats.org/officeDocument/2006/relationships/hyperlink" Target="https://www.sec.gov/Archives/edgar/data/1758730/000175873026000116/tw-2026x8kxex32coi.htm" TargetMode="External"/><Relationship Id="rId6" Type="http://schemas.openxmlformats.org/officeDocument/2006/relationships/hyperlink" Target="https://www.sec.gov/Archives/edgar/data/1758730/000175873026000116/tw-2026x8kxex32coi.htm" TargetMode="External"/><Relationship Id="rId7" Type="http://schemas.openxmlformats.org/officeDocument/2006/relationships/hyperlink" Target="https://www.sec.gov/Archives/edgar/data/1758730/000175873026000116/tw-2026x8kxex32coi.htm" TargetMode="External"/><Relationship Id="rId8" Type="http://schemas.openxmlformats.org/officeDocument/2006/relationships/hyperlink" Target="https://www.sec.gov/Archives/edgar/data/1758730/000175873026000096/twm-2026x03x31xexx32.htm" TargetMode="External"/><Relationship Id="rId9" Type="http://schemas.openxmlformats.org/officeDocument/2006/relationships/hyperlink" Target="https://www.sec.gov/Archives/edgar/data/1758730/000175873026000096/twm-2026x03x31xexx32.htm" TargetMode="External"/><Relationship Id="rId10" Type="http://schemas.openxmlformats.org/officeDocument/2006/relationships/hyperlink" Target="https://www.sec.gov/Archives/edgar/data/1758730/000175873026000096/twm-2026x03x31xexx32.htm" TargetMode="External"/><Relationship Id="rId11" Type="http://schemas.openxmlformats.org/officeDocument/2006/relationships/hyperlink" Target="https://www.sec.gov/Archives/edgar/data/1758730/000175873026000096/twm-2026x03x31xexx32.htm" TargetMode="External"/><Relationship Id="rId12" Type="http://schemas.openxmlformats.org/officeDocument/2006/relationships/hyperlink" Target="https://www.sec.gov/Archives/edgar/data/1758730/000175873026000096/twm-2026x03x31xexx32.htm" TargetMode="External"/><Relationship Id="rId13" Type="http://schemas.openxmlformats.org/officeDocument/2006/relationships/hyperlink" Target="https://www.sec.gov/Archives/edgar/data/1758730/000175873026000096/twm-2026x03x31xexx32.htm" TargetMode="External"/><Relationship Id="rId14" Type="http://schemas.openxmlformats.org/officeDocument/2006/relationships/hyperlink" Target="https://www.sec.gov/Archives/edgar/data/1758730/000175873026000096/twm-2026x03x31xexx32.htm" TargetMode="External"/><Relationship Id="rId15" Type="http://schemas.openxmlformats.org/officeDocument/2006/relationships/hyperlink" Target="https://www.sec.gov/Archives/edgar/data/1758730/000175873026000096/twm-2026x03x31xexx32.htm" TargetMode="External"/><Relationship Id="rId16" Type="http://schemas.openxmlformats.org/officeDocument/2006/relationships/hyperlink" Target="https://www.sec.gov/Archives/edgar/data/1758730/000175873026000096/twm-2026x03x31xexx3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51254</Words>
  <Characters>283112</Characters>
  <CharactersWithSpaces>331789</CharactersWithSpaces>
  <Paragraphs>5104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