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2026</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500" w:type="dxa"/>
            <w:vAlign w:val="bottom"/>
          </w:tcPr>
          <w:p>
            <w:pPr>
              <w:jc w:val="center"/>
              <w:ind w:left="83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2000" w:type="dxa"/>
            <w:vAlign w:val="bottom"/>
          </w:tcPr>
          <w:p>
            <w:pPr>
              <w:spacing w:after="0"/>
              <w:rPr>
                <w:sz w:val="21"/>
                <w:szCs w:val="21"/>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10167</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October 29, 2026, Tradeweb Markets Inc. issued a press release, a copy of which is furnished as Exhibit 99.1 hereto and incorporated herein by reference, announcing financial results for the quarter ended September 30, 2026.</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3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Tradeweb Markets Inc., dated October 29, 2026, announcing Third Quarter 2026 Financial Results.</w:t>
            </w: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w:t>
            </w:r>
          </w:p>
        </w:tc>
      </w:tr>
    </w:tbl>
    <w:p>
      <w:pPr>
        <w:sectPr>
          <w:pgSz w:w="11900" w:h="16838" w:orient="portrait"/>
          <w:cols w:equalWidth="0" w:num="1">
            <w:col w:w="11240"/>
          </w:cols>
          <w:pgMar w:left="320" w:top="1130" w:right="339" w:bottom="1440" w:gutter="0" w:footer="0" w:header="0"/>
        </w:sectPr>
      </w:pPr>
    </w:p>
    <w:bookmarkStart w:id="3" w:name="page4"/>
    <w:bookmarkEnd w:id="3"/>
    <w:p>
      <w:pPr>
        <w:ind w:left="5540"/>
        <w:spacing w:after="0"/>
        <w:tabs>
          <w:tab w:leader="none" w:pos="8160" w:val="left"/>
        </w:tabs>
        <w:rPr>
          <w:sz w:val="20"/>
          <w:szCs w:val="20"/>
          <w:color w:val="auto"/>
        </w:rPr>
      </w:pPr>
      <w:r>
        <w:rPr>
          <w:rFonts w:ascii="Arial" w:cs="Arial" w:eastAsia="Arial" w:hAnsi="Arial"/>
          <w:sz w:val="16"/>
          <w:szCs w:val="16"/>
          <w:b w:val="1"/>
          <w:bCs w:val="1"/>
          <w:color w:val="083566"/>
        </w:rPr>
        <w:t>Investor Relations</w:t>
      </w:r>
      <w:r>
        <w:rPr>
          <w:sz w:val="20"/>
          <w:szCs w:val="20"/>
          <w:color w:val="auto"/>
        </w:rPr>
        <w:tab/>
      </w:r>
      <w:r>
        <w:rPr>
          <w:rFonts w:ascii="Arial" w:cs="Arial" w:eastAsia="Arial" w:hAnsi="Arial"/>
          <w:sz w:val="16"/>
          <w:szCs w:val="16"/>
          <w:b w:val="1"/>
          <w:bCs w:val="1"/>
          <w:color w:val="083566"/>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213423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85800"/>
                    </a:xfrm>
                    <a:prstGeom prst="rect">
                      <a:avLst/>
                    </a:prstGeom>
                    <a:noFill/>
                  </pic:spPr>
                </pic:pic>
              </a:graphicData>
            </a:graphic>
          </wp:anchor>
        </w:drawing>
      </w:r>
    </w:p>
    <w:p>
      <w:pPr>
        <w:spacing w:after="0" w:line="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 Serrao + 1 646 430 6027</w:t>
      </w:r>
      <w:r>
        <w:rPr>
          <w:sz w:val="20"/>
          <w:szCs w:val="20"/>
          <w:color w:val="auto"/>
        </w:rPr>
        <w:tab/>
      </w:r>
      <w:r>
        <w:rPr>
          <w:rFonts w:ascii="Arial" w:cs="Arial" w:eastAsia="Arial" w:hAnsi="Arial"/>
          <w:sz w:val="16"/>
          <w:szCs w:val="16"/>
          <w:color w:val="auto"/>
        </w:rPr>
        <w:t>Daniel Noonan + 1 646 767 4677</w:t>
      </w:r>
    </w:p>
    <w:p>
      <w:pPr>
        <w:spacing w:after="0" w:line="15"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Ashley.Serrao@Tradeweb.com</w:t>
      </w:r>
      <w:r>
        <w:rPr>
          <w:sz w:val="20"/>
          <w:szCs w:val="20"/>
          <w:color w:val="auto"/>
        </w:rPr>
        <w:tab/>
      </w:r>
      <w:r>
        <w:rPr>
          <w:rFonts w:ascii="Arial" w:cs="Arial" w:eastAsia="Arial" w:hAnsi="Arial"/>
          <w:sz w:val="16"/>
          <w:szCs w:val="16"/>
          <w:color w:val="auto"/>
        </w:rPr>
        <w:t>Daniel.Noonan@Tradeweb.com</w:t>
      </w:r>
    </w:p>
    <w:p>
      <w:pPr>
        <w:spacing w:after="0" w:line="236"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Sameer Murukutla + 1 646 767</w:t>
      </w:r>
      <w:r>
        <w:rPr>
          <w:sz w:val="20"/>
          <w:szCs w:val="20"/>
          <w:color w:val="auto"/>
        </w:rPr>
        <w:tab/>
      </w:r>
      <w:r>
        <w:rPr>
          <w:rFonts w:ascii="Arial" w:cs="Arial" w:eastAsia="Arial" w:hAnsi="Arial"/>
          <w:sz w:val="16"/>
          <w:szCs w:val="16"/>
          <w:color w:val="auto"/>
        </w:rPr>
        <w:t>Savannah Steele + 1 646 767</w:t>
      </w:r>
    </w:p>
    <w:p>
      <w:pPr>
        <w:spacing w:after="0" w:line="3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4864</w:t>
      </w:r>
      <w:r>
        <w:rPr>
          <w:sz w:val="20"/>
          <w:szCs w:val="20"/>
          <w:color w:val="auto"/>
        </w:rPr>
        <w:tab/>
      </w:r>
      <w:r>
        <w:rPr>
          <w:rFonts w:ascii="Arial" w:cs="Arial" w:eastAsia="Arial" w:hAnsi="Arial"/>
          <w:sz w:val="16"/>
          <w:szCs w:val="16"/>
          <w:color w:val="auto"/>
        </w:rPr>
        <w:t>4941</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Sameer.Murukutla@Tradeweb.com Savannah.Steele@Tradeweb.com</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76A8"/>
        </w:rPr>
        <w:t>TRADEWEB REPORTS THIRD QUARTER 2026 FINANCIAL RESULTS</w:t>
      </w:r>
    </w:p>
    <w:p>
      <w:pPr>
        <w:spacing w:after="0" w:line="222"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October 29, 2026 </w:t>
      </w:r>
      <w:r>
        <w:rPr>
          <w:rFonts w:ascii="Arial" w:cs="Arial" w:eastAsia="Arial" w:hAnsi="Arial"/>
          <w:sz w:val="16"/>
          <w:szCs w:val="16"/>
          <w:color w:val="auto"/>
        </w:rPr>
        <w:t>– Tradeweb Markets Inc. (Nasdaq: TW), a global leader in electronic trading across asset classes, today reported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for the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2871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871470"/>
                    </a:xfrm>
                    <a:prstGeom prst="rect">
                      <a:avLst/>
                    </a:prstGeom>
                    <a:noFill/>
                  </pic:spPr>
                </pic:pic>
              </a:graphicData>
            </a:graphic>
          </wp:anchor>
        </w:drawing>
      </w:r>
    </w:p>
    <w:p>
      <w:pPr>
        <w:sectPr>
          <w:pgSz w:w="11900" w:h="16838" w:orient="portrait"/>
          <w:cols w:equalWidth="0" w:num="1">
            <w:col w:w="10920"/>
          </w:cols>
          <w:pgMar w:left="320" w:top="179" w:right="659" w:bottom="1440" w:gutter="0" w:footer="0" w:header="0"/>
        </w:sectPr>
      </w:pPr>
    </w:p>
    <w:p>
      <w:pPr>
        <w:spacing w:after="0" w:line="115"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$584.5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14.9% </w:t>
      </w:r>
      <w:r>
        <w:rPr>
          <w:rFonts w:ascii="Arial" w:cs="Arial" w:eastAsia="Arial" w:hAnsi="Arial"/>
          <w:sz w:val="16"/>
          <w:szCs w:val="16"/>
          <w:color w:val="auto"/>
        </w:rPr>
        <w:t>(</w:t>
      </w:r>
      <w:r>
        <w:rPr>
          <w:rFonts w:ascii="Arial" w:cs="Arial" w:eastAsia="Arial" w:hAnsi="Arial"/>
          <w:sz w:val="16"/>
          <w:szCs w:val="16"/>
          <w:b w:val="1"/>
          <w:bCs w:val="1"/>
          <w:color w:val="auto"/>
        </w:rPr>
        <w:t xml:space="preserve">15.4%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7" w:lineRule="exact"/>
        <w:rPr>
          <w:sz w:val="20"/>
          <w:szCs w:val="20"/>
          <w:color w:val="auto"/>
        </w:rPr>
      </w:pPr>
    </w:p>
    <w:p>
      <w:pPr>
        <w:ind w:left="20" w:right="20"/>
        <w:spacing w:after="0" w:line="286" w:lineRule="auto"/>
        <w:rPr>
          <w:sz w:val="20"/>
          <w:szCs w:val="20"/>
          <w:color w:val="auto"/>
        </w:rPr>
      </w:pPr>
      <w:r>
        <w:rPr>
          <w:rFonts w:ascii="Arial" w:cs="Arial" w:eastAsia="Arial" w:hAnsi="Arial"/>
          <w:sz w:val="16"/>
          <w:szCs w:val="16"/>
          <w:b w:val="1"/>
          <w:bCs w:val="1"/>
          <w:color w:val="auto"/>
        </w:rPr>
        <w:t xml:space="preserve">$258.5 million </w:t>
      </w:r>
      <w:r>
        <w:rPr>
          <w:rFonts w:ascii="Arial" w:cs="Arial" w:eastAsia="Arial" w:hAnsi="Arial"/>
          <w:sz w:val="16"/>
          <w:szCs w:val="16"/>
          <w:color w:val="auto"/>
        </w:rPr>
        <w:t>quarterly international revenues, an increase of</w:t>
      </w:r>
      <w:r>
        <w:rPr>
          <w:rFonts w:ascii="Arial" w:cs="Arial" w:eastAsia="Arial" w:hAnsi="Arial"/>
          <w:sz w:val="16"/>
          <w:szCs w:val="16"/>
          <w:b w:val="1"/>
          <w:bCs w:val="1"/>
          <w:color w:val="auto"/>
        </w:rPr>
        <w:t xml:space="preserve"> 22.4% </w:t>
      </w:r>
      <w:r>
        <w:rPr>
          <w:rFonts w:ascii="Arial" w:cs="Arial" w:eastAsia="Arial" w:hAnsi="Arial"/>
          <w:sz w:val="16"/>
          <w:szCs w:val="16"/>
          <w:color w:val="auto"/>
        </w:rPr>
        <w:t>(</w:t>
      </w:r>
      <w:r>
        <w:rPr>
          <w:rFonts w:ascii="Arial" w:cs="Arial" w:eastAsia="Arial" w:hAnsi="Arial"/>
          <w:sz w:val="16"/>
          <w:szCs w:val="16"/>
          <w:b w:val="1"/>
          <w:bCs w:val="1"/>
          <w:color w:val="auto"/>
        </w:rPr>
        <w:t xml:space="preserve">23.8% </w:t>
      </w:r>
      <w:r>
        <w:rPr>
          <w:rFonts w:ascii="Arial" w:cs="Arial" w:eastAsia="Arial" w:hAnsi="Arial"/>
          <w:sz w:val="16"/>
          <w:szCs w:val="16"/>
          <w:color w:val="auto"/>
        </w:rPr>
        <w:t>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current basis) compared to prior year period</w:t>
      </w:r>
    </w:p>
    <w:p>
      <w:pPr>
        <w:spacing w:after="0" w:line="7" w:lineRule="exact"/>
        <w:rPr>
          <w:sz w:val="20"/>
          <w:szCs w:val="20"/>
          <w:color w:val="auto"/>
        </w:rPr>
      </w:pPr>
    </w:p>
    <w:p>
      <w:pPr>
        <w:ind w:left="20" w:right="100"/>
        <w:spacing w:after="0" w:line="281" w:lineRule="auto"/>
        <w:rPr>
          <w:sz w:val="20"/>
          <w:szCs w:val="20"/>
          <w:color w:val="auto"/>
        </w:rPr>
      </w:pPr>
      <w:r>
        <w:rPr>
          <w:rFonts w:ascii="Arial" w:cs="Arial" w:eastAsia="Arial" w:hAnsi="Arial"/>
          <w:sz w:val="16"/>
          <w:szCs w:val="16"/>
          <w:b w:val="1"/>
          <w:bCs w:val="1"/>
          <w:color w:val="auto"/>
        </w:rPr>
        <w:t xml:space="preserve">$3.2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22.4% </w:t>
      </w:r>
      <w:r>
        <w:rPr>
          <w:rFonts w:ascii="Arial" w:cs="Arial" w:eastAsia="Arial" w:hAnsi="Arial"/>
          <w:sz w:val="16"/>
          <w:szCs w:val="16"/>
          <w:color w:val="auto"/>
        </w:rPr>
        <w:t>compared to prior year period; quarterly ADV records in municipal bonds</w:t>
      </w:r>
    </w:p>
    <w:p>
      <w:pPr>
        <w:spacing w:after="0" w:line="1" w:lineRule="exact"/>
        <w:rPr>
          <w:sz w:val="20"/>
          <w:szCs w:val="20"/>
          <w:color w:val="auto"/>
        </w:rPr>
      </w:pPr>
    </w:p>
    <w:p>
      <w:pPr>
        <w:ind w:left="20" w:right="480"/>
        <w:spacing w:after="0" w:line="290" w:lineRule="auto"/>
        <w:rPr>
          <w:sz w:val="20"/>
          <w:szCs w:val="20"/>
          <w:color w:val="auto"/>
        </w:rPr>
      </w:pPr>
      <w:r>
        <w:rPr>
          <w:rFonts w:ascii="Arial" w:cs="Arial" w:eastAsia="Arial" w:hAnsi="Arial"/>
          <w:sz w:val="16"/>
          <w:szCs w:val="16"/>
          <w:b w:val="1"/>
          <w:bCs w:val="1"/>
          <w:color w:val="auto"/>
        </w:rPr>
        <w:t xml:space="preserve">$224.9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$238.8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6.8%</w:t>
      </w:r>
      <w:r>
        <w:rPr>
          <w:rFonts w:ascii="Arial" w:cs="Arial" w:eastAsia="Arial" w:hAnsi="Arial"/>
          <w:sz w:val="16"/>
          <w:szCs w:val="16"/>
          <w:color w:val="auto"/>
        </w:rPr>
        <w:t xml:space="preserve"> and </w:t>
      </w:r>
      <w:r>
        <w:rPr>
          <w:rFonts w:ascii="Arial" w:cs="Arial" w:eastAsia="Arial" w:hAnsi="Arial"/>
          <w:sz w:val="16"/>
          <w:szCs w:val="16"/>
          <w:b w:val="1"/>
          <w:bCs w:val="1"/>
          <w:color w:val="auto"/>
        </w:rPr>
        <w:t>15.6%,</w:t>
      </w:r>
      <w:r>
        <w:rPr>
          <w:rFonts w:ascii="Arial" w:cs="Arial" w:eastAsia="Arial" w:hAnsi="Arial"/>
          <w:sz w:val="16"/>
          <w:szCs w:val="16"/>
          <w:color w:val="auto"/>
        </w:rPr>
        <w:t xml:space="preserve"> respectively, from prior year period</w:t>
      </w:r>
    </w:p>
    <w:p>
      <w:pPr>
        <w:spacing w:after="0" w:line="1" w:lineRule="exact"/>
        <w:rPr>
          <w:sz w:val="20"/>
          <w:szCs w:val="20"/>
          <w:color w:val="auto"/>
        </w:rPr>
      </w:pPr>
    </w:p>
    <w:p>
      <w:pPr>
        <w:ind w:left="20"/>
        <w:spacing w:after="0" w:line="290" w:lineRule="auto"/>
        <w:rPr>
          <w:sz w:val="20"/>
          <w:szCs w:val="20"/>
          <w:color w:val="auto"/>
        </w:rPr>
      </w:pPr>
      <w:r>
        <w:rPr>
          <w:rFonts w:ascii="Arial" w:cs="Arial" w:eastAsia="Arial" w:hAnsi="Arial"/>
          <w:sz w:val="16"/>
          <w:szCs w:val="16"/>
          <w:b w:val="1"/>
          <w:bCs w:val="1"/>
          <w:color w:val="auto"/>
        </w:rPr>
        <w:t xml:space="preserve">54.5%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$318.9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54.0% and $274.4 million, respectively, for prior year period</w:t>
      </w:r>
    </w:p>
    <w:p>
      <w:pPr>
        <w:spacing w:after="0" w:line="1" w:lineRule="exact"/>
        <w:rPr>
          <w:sz w:val="20"/>
          <w:szCs w:val="20"/>
          <w:color w:val="auto"/>
        </w:rPr>
      </w:pPr>
    </w:p>
    <w:p>
      <w:pPr>
        <w:ind w:left="20" w:right="400"/>
        <w:spacing w:after="0" w:line="286" w:lineRule="auto"/>
        <w:rPr>
          <w:sz w:val="20"/>
          <w:szCs w:val="20"/>
          <w:color w:val="auto"/>
        </w:rPr>
      </w:pPr>
      <w:r>
        <w:rPr>
          <w:rFonts w:ascii="Arial" w:cs="Arial" w:eastAsia="Arial" w:hAnsi="Arial"/>
          <w:sz w:val="16"/>
          <w:szCs w:val="16"/>
          <w:b w:val="1"/>
          <w:bCs w:val="1"/>
          <w:color w:val="auto"/>
        </w:rPr>
        <w:t xml:space="preserve">$0.94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$1.02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7"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$0.14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16.7%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Billy Hult, CEO of Tradeweb:</w:t>
      </w:r>
    </w:p>
    <w:p>
      <w:pPr>
        <w:spacing w:after="0" w:line="46"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“Our third quarter 2026 revenue and volumes reflect the strength and breadth of our global, multi-asset platform, with average daily volume increasing 22.4% year-over-year. Against a backdrop of rising Treasury yields, shifting central bank policy and geopolitical uncertainty, we continued helping clients access liquidity and manage risk while investing in opportunities to drive our long-term growth.</w:t>
      </w:r>
    </w:p>
    <w:p>
      <w:pPr>
        <w:spacing w:after="0" w:line="211" w:lineRule="exact"/>
        <w:rPr>
          <w:sz w:val="20"/>
          <w:szCs w:val="20"/>
          <w:color w:val="auto"/>
        </w:rPr>
      </w:pPr>
    </w:p>
    <w:p>
      <w:pPr>
        <w:ind w:right="120"/>
        <w:spacing w:after="0" w:line="225" w:lineRule="auto"/>
        <w:rPr>
          <w:sz w:val="20"/>
          <w:szCs w:val="20"/>
          <w:color w:val="auto"/>
        </w:rPr>
      </w:pPr>
      <w:r>
        <w:rPr>
          <w:rFonts w:ascii="Arial" w:cs="Arial" w:eastAsia="Arial" w:hAnsi="Arial"/>
          <w:sz w:val="13"/>
          <w:szCs w:val="13"/>
          <w:color w:val="auto"/>
        </w:rPr>
        <w:t>Innovation was a constant across our core and frontier markets. We enhanced Tradeweb Ai-Price with more responsive corporate bond pricing, expanded our Saudi debt market offering, and reached new milestones in digital assets, including transactions involving tokenized U.S. Treasuries and fully on-chain repo. These developments underscore our focus on bringing new efficiencies to trading, settlement and collateral mobility.</w:t>
      </w:r>
    </w:p>
    <w:p>
      <w:pPr>
        <w:spacing w:after="0" w:line="212" w:lineRule="exact"/>
        <w:rPr>
          <w:sz w:val="20"/>
          <w:szCs w:val="20"/>
          <w:color w:val="auto"/>
        </w:rPr>
      </w:pPr>
    </w:p>
    <w:p>
      <w:pPr>
        <w:ind w:right="140"/>
        <w:spacing w:after="0" w:line="222" w:lineRule="auto"/>
        <w:rPr>
          <w:sz w:val="20"/>
          <w:szCs w:val="20"/>
          <w:color w:val="auto"/>
        </w:rPr>
      </w:pPr>
      <w:r>
        <w:rPr>
          <w:rFonts w:ascii="Arial" w:cs="Arial" w:eastAsia="Arial" w:hAnsi="Arial"/>
          <w:sz w:val="13"/>
          <w:szCs w:val="13"/>
          <w:color w:val="auto"/>
        </w:rPr>
        <w:t>In October, we announced our agreement to acquire Trumid, the largest acquisition in our history and a significant step forward in our credit strategy. We've always been builders of marketplaces, and this transaction reflects our belief in combining strategic acquisitions with organic innovation. By bringing together Trumid's differentiated trading protocols and hedge fund relationships with our global reach and institutional network, we see significant opportunities to connect trading across the entire bond lifecycle, develop new solutions with our partners and accelerate innovation in global credit markets.</w:t>
      </w:r>
    </w:p>
    <w:p>
      <w:pPr>
        <w:spacing w:after="0" w:line="217" w:lineRule="exact"/>
        <w:rPr>
          <w:sz w:val="20"/>
          <w:szCs w:val="20"/>
          <w:color w:val="auto"/>
        </w:rPr>
      </w:pPr>
    </w:p>
    <w:p>
      <w:pPr>
        <w:ind w:right="140"/>
        <w:spacing w:after="0" w:line="229" w:lineRule="auto"/>
        <w:rPr>
          <w:sz w:val="20"/>
          <w:szCs w:val="20"/>
          <w:color w:val="auto"/>
        </w:rPr>
      </w:pPr>
      <w:r>
        <w:rPr>
          <w:rFonts w:ascii="Arial" w:cs="Arial" w:eastAsia="Arial" w:hAnsi="Arial"/>
          <w:sz w:val="13"/>
          <w:szCs w:val="13"/>
          <w:color w:val="auto"/>
        </w:rPr>
        <w:t>Our strategy remains focused on solving real challenges for clients, expanding our capabilities and investing in the future of electronic markets. We believe this approach positions Tradeweb to capture new opportunities and deliver sustainable, long-term growth across a range of market conditions.”</w:t>
      </w:r>
    </w:p>
    <w:p>
      <w:pPr>
        <w:spacing w:after="0" w:line="200" w:lineRule="exact"/>
        <w:rPr>
          <w:sz w:val="20"/>
          <w:szCs w:val="20"/>
          <w:color w:val="auto"/>
        </w:rPr>
      </w:pPr>
    </w:p>
    <w:p>
      <w:pPr>
        <w:sectPr>
          <w:pgSz w:w="11900" w:h="16838" w:orient="portrait"/>
          <w:cols w:equalWidth="0" w:num="2">
            <w:col w:w="5820" w:space="180"/>
            <w:col w:w="4920"/>
          </w:cols>
          <w:pgMar w:left="320" w:top="179" w:right="659" w:bottom="1440" w:gutter="0" w:footer="0" w:header="0"/>
          <w:type w:val="continuous"/>
        </w:sect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2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160" w:type="dxa"/>
            <w:vAlign w:val="bottom"/>
            <w:shd w:val="clear" w:color="auto" w:fill="083566"/>
          </w:tcPr>
          <w:p>
            <w:pPr>
              <w:spacing w:after="0"/>
              <w:rPr>
                <w:sz w:val="17"/>
                <w:szCs w:val="17"/>
                <w:color w:val="auto"/>
              </w:rPr>
            </w:pPr>
          </w:p>
        </w:tc>
        <w:tc>
          <w:tcPr>
            <w:tcW w:w="660" w:type="dxa"/>
            <w:vAlign w:val="bottom"/>
            <w:shd w:val="clear" w:color="auto" w:fill="083566"/>
          </w:tcPr>
          <w:p>
            <w:pPr>
              <w:spacing w:after="0"/>
              <w:rPr>
                <w:sz w:val="17"/>
                <w:szCs w:val="17"/>
                <w:color w:val="auto"/>
              </w:rPr>
            </w:pPr>
          </w:p>
        </w:tc>
        <w:tc>
          <w:tcPr>
            <w:tcW w:w="140" w:type="dxa"/>
            <w:vAlign w:val="bottom"/>
            <w:shd w:val="clear" w:color="auto" w:fill="083566"/>
          </w:tcPr>
          <w:p>
            <w:pPr>
              <w:spacing w:after="0"/>
              <w:rPr>
                <w:sz w:val="17"/>
                <w:szCs w:val="17"/>
                <w:color w:val="auto"/>
              </w:rPr>
            </w:pPr>
          </w:p>
        </w:tc>
        <w:tc>
          <w:tcPr>
            <w:tcW w:w="8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2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160" w:type="dxa"/>
            <w:vAlign w:val="bottom"/>
            <w:shd w:val="clear" w:color="auto" w:fill="083566"/>
          </w:tcPr>
          <w:p>
            <w:pPr>
              <w:spacing w:after="0"/>
              <w:rPr>
                <w:sz w:val="16"/>
                <w:szCs w:val="16"/>
                <w:color w:val="auto"/>
              </w:rPr>
            </w:pPr>
          </w:p>
        </w:tc>
        <w:tc>
          <w:tcPr>
            <w:tcW w:w="660" w:type="dxa"/>
            <w:vAlign w:val="bottom"/>
            <w:shd w:val="clear" w:color="auto" w:fill="083566"/>
          </w:tcPr>
          <w:p>
            <w:pPr>
              <w:spacing w:after="0"/>
              <w:rPr>
                <w:sz w:val="16"/>
                <w:szCs w:val="16"/>
                <w:color w:val="auto"/>
              </w:rPr>
            </w:pPr>
          </w:p>
        </w:tc>
        <w:tc>
          <w:tcPr>
            <w:tcW w:w="140" w:type="dxa"/>
            <w:vAlign w:val="bottom"/>
            <w:shd w:val="clear" w:color="auto" w:fill="083566"/>
          </w:tcPr>
          <w:p>
            <w:pPr>
              <w:spacing w:after="0"/>
              <w:rPr>
                <w:sz w:val="16"/>
                <w:szCs w:val="16"/>
                <w:color w:val="auto"/>
              </w:rPr>
            </w:pPr>
          </w:p>
        </w:tc>
        <w:tc>
          <w:tcPr>
            <w:tcW w:w="8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3Q26</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3Q25</w:t>
            </w:r>
          </w:p>
        </w:tc>
        <w:tc>
          <w:tcPr>
            <w:tcW w:w="92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160" w:type="dxa"/>
            <w:vAlign w:val="bottom"/>
            <w:shd w:val="clear" w:color="auto" w:fill="083566"/>
          </w:tcPr>
          <w:p>
            <w:pPr>
              <w:spacing w:after="0"/>
              <w:rPr>
                <w:sz w:val="22"/>
                <w:szCs w:val="22"/>
                <w:color w:val="auto"/>
              </w:rPr>
            </w:pPr>
          </w:p>
        </w:tc>
        <w:tc>
          <w:tcPr>
            <w:tcW w:w="660" w:type="dxa"/>
            <w:vAlign w:val="bottom"/>
            <w:shd w:val="clear" w:color="auto" w:fill="083566"/>
          </w:tcPr>
          <w:p>
            <w:pPr>
              <w:spacing w:after="0"/>
              <w:rPr>
                <w:sz w:val="22"/>
                <w:szCs w:val="22"/>
                <w:color w:val="auto"/>
              </w:rPr>
            </w:pPr>
          </w:p>
        </w:tc>
        <w:tc>
          <w:tcPr>
            <w:tcW w:w="140" w:type="dxa"/>
            <w:vAlign w:val="bottom"/>
            <w:shd w:val="clear" w:color="auto" w:fill="083566"/>
          </w:tcPr>
          <w:p>
            <w:pPr>
              <w:spacing w:after="0"/>
              <w:rPr>
                <w:sz w:val="22"/>
                <w:szCs w:val="22"/>
                <w:color w:val="auto"/>
              </w:rPr>
            </w:pPr>
          </w:p>
        </w:tc>
        <w:tc>
          <w:tcPr>
            <w:tcW w:w="84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shd w:val="clear" w:color="auto" w:fill="083566"/>
          </w:tcPr>
          <w:p>
            <w:pPr>
              <w:spacing w:after="0"/>
              <w:rPr>
                <w:sz w:val="20"/>
                <w:szCs w:val="20"/>
                <w:color w:val="auto"/>
              </w:rPr>
            </w:pPr>
          </w:p>
        </w:tc>
        <w:tc>
          <w:tcPr>
            <w:tcW w:w="66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3Q26</w:t>
            </w:r>
          </w:p>
        </w:tc>
        <w:tc>
          <w:tcPr>
            <w:tcW w:w="140" w:type="dxa"/>
            <w:vAlign w:val="bottom"/>
            <w:shd w:val="clear" w:color="auto" w:fill="083566"/>
          </w:tcPr>
          <w:p>
            <w:pPr>
              <w:spacing w:after="0"/>
              <w:rPr>
                <w:sz w:val="20"/>
                <w:szCs w:val="20"/>
                <w:color w:val="auto"/>
              </w:rPr>
            </w:pPr>
          </w:p>
        </w:tc>
        <w:tc>
          <w:tcPr>
            <w:tcW w:w="84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3Q25</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2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535</w:t>
            </w:r>
          </w:p>
        </w:tc>
        <w:tc>
          <w:tcPr>
            <w:tcW w:w="880" w:type="dxa"/>
            <w:vAlign w:val="bottom"/>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35"/>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584,545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508,598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14.9 %</w:t>
            </w:r>
          </w:p>
        </w:tc>
        <w:tc>
          <w:tcPr>
            <w:tcW w:w="560" w:type="dxa"/>
            <w:vAlign w:val="bottom"/>
          </w:tcPr>
          <w:p>
            <w:pPr>
              <w:jc w:val="right"/>
              <w:spacing w:after="0"/>
              <w:rPr>
                <w:sz w:val="20"/>
                <w:szCs w:val="20"/>
                <w:color w:val="auto"/>
              </w:rPr>
            </w:pPr>
            <w:r>
              <w:rPr>
                <w:rFonts w:ascii="Arial" w:cs="Arial" w:eastAsia="Arial" w:hAnsi="Arial"/>
                <w:sz w:val="16"/>
                <w:szCs w:val="16"/>
                <w:color w:val="auto"/>
              </w:rPr>
              <w:t>15.4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1,345</w:t>
            </w:r>
          </w:p>
        </w:tc>
        <w:tc>
          <w:tcPr>
            <w:tcW w:w="140" w:type="dxa"/>
            <w:vAlign w:val="bottom"/>
          </w:tcPr>
          <w:p>
            <w:pPr>
              <w:spacing w:after="0"/>
              <w:rPr>
                <w:sz w:val="20"/>
                <w:szCs w:val="20"/>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921</w:t>
            </w:r>
          </w:p>
        </w:tc>
        <w:tc>
          <w:tcPr>
            <w:tcW w:w="880" w:type="dxa"/>
            <w:vAlign w:val="bottom"/>
          </w:tcPr>
          <w:p>
            <w:pPr>
              <w:jc w:val="right"/>
              <w:spacing w:after="0"/>
              <w:rPr>
                <w:sz w:val="20"/>
                <w:szCs w:val="20"/>
                <w:color w:val="auto"/>
              </w:rPr>
            </w:pPr>
            <w:r>
              <w:rPr>
                <w:rFonts w:ascii="Arial" w:cs="Arial" w:eastAsia="Arial" w:hAnsi="Arial"/>
                <w:sz w:val="16"/>
                <w:szCs w:val="16"/>
                <w:color w:val="auto"/>
              </w:rPr>
              <w:t>46.0 %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324,459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274,497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18.2 %</w:t>
            </w:r>
          </w:p>
        </w:tc>
        <w:tc>
          <w:tcPr>
            <w:tcW w:w="560" w:type="dxa"/>
            <w:vAlign w:val="bottom"/>
          </w:tcPr>
          <w:p>
            <w:pPr>
              <w:jc w:val="right"/>
              <w:spacing w:after="0"/>
              <w:rPr>
                <w:sz w:val="20"/>
                <w:szCs w:val="20"/>
                <w:color w:val="auto"/>
              </w:rPr>
            </w:pPr>
            <w:r>
              <w:rPr>
                <w:rFonts w:ascii="Arial" w:cs="Arial" w:eastAsia="Arial" w:hAnsi="Arial"/>
                <w:sz w:val="16"/>
                <w:szCs w:val="16"/>
                <w:color w:val="auto"/>
              </w:rPr>
              <w:t>18.9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1,948</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1,456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33.8 %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132,990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121,334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9.6 %</w:t>
            </w: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880" w:type="dxa"/>
            <w:vAlign w:val="bottom"/>
          </w:tcPr>
          <w:p>
            <w:pPr>
              <w:jc w:val="right"/>
              <w:spacing w:after="0"/>
              <w:rPr>
                <w:sz w:val="20"/>
                <w:szCs w:val="20"/>
                <w:color w:val="auto"/>
              </w:rPr>
            </w:pPr>
            <w:r>
              <w:rPr>
                <w:rFonts w:ascii="Arial" w:cs="Arial" w:eastAsia="Arial" w:hAnsi="Arial"/>
                <w:sz w:val="16"/>
                <w:szCs w:val="16"/>
                <w:color w:val="auto"/>
              </w:rPr>
              <w:t>18.9 %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38,420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29,829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28.8 %</w:t>
            </w:r>
          </w:p>
        </w:tc>
        <w:tc>
          <w:tcPr>
            <w:tcW w:w="560" w:type="dxa"/>
            <w:vAlign w:val="bottom"/>
          </w:tcPr>
          <w:p>
            <w:pPr>
              <w:jc w:val="right"/>
              <w:spacing w:after="0"/>
              <w:rPr>
                <w:sz w:val="20"/>
                <w:szCs w:val="20"/>
                <w:color w:val="auto"/>
              </w:rPr>
            </w:pPr>
            <w:r>
              <w:rPr>
                <w:rFonts w:ascii="Arial" w:cs="Arial" w:eastAsia="Arial" w:hAnsi="Arial"/>
                <w:sz w:val="16"/>
                <w:szCs w:val="16"/>
                <w:color w:val="auto"/>
              </w:rPr>
              <w:t>29.8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880" w:type="dxa"/>
            <w:vAlign w:val="bottom"/>
          </w:tcPr>
          <w:p>
            <w:pPr>
              <w:jc w:val="right"/>
              <w:spacing w:after="0"/>
              <w:rPr>
                <w:sz w:val="20"/>
                <w:szCs w:val="20"/>
                <w:color w:val="auto"/>
              </w:rPr>
            </w:pPr>
            <w:r>
              <w:rPr>
                <w:rFonts w:ascii="Arial" w:cs="Arial" w:eastAsia="Arial" w:hAnsi="Arial"/>
                <w:sz w:val="16"/>
                <w:szCs w:val="16"/>
                <w:color w:val="auto"/>
              </w:rPr>
              <w:t>61.3 %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44,173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42,889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3.0 %</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42</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36,872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30,817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19.6 %</w:t>
            </w:r>
          </w:p>
        </w:tc>
        <w:tc>
          <w:tcPr>
            <w:tcW w:w="560" w:type="dxa"/>
            <w:vAlign w:val="bottom"/>
          </w:tcPr>
          <w:p>
            <w:pPr>
              <w:jc w:val="right"/>
              <w:spacing w:after="0"/>
              <w:rPr>
                <w:sz w:val="20"/>
                <w:szCs w:val="20"/>
                <w:color w:val="auto"/>
              </w:rPr>
            </w:pPr>
            <w:r>
              <w:rPr>
                <w:rFonts w:ascii="Arial" w:cs="Arial" w:eastAsia="Arial" w:hAnsi="Arial"/>
                <w:sz w:val="16"/>
                <w:szCs w:val="16"/>
                <w:color w:val="auto"/>
              </w:rPr>
              <w:t>19.7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880" w:type="dxa"/>
            <w:vAlign w:val="bottom"/>
          </w:tcPr>
          <w:p>
            <w:pPr>
              <w:jc w:val="right"/>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7,631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9,232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(17.3) %</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(17.3) %</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253,430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210,371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20.5 %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26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224,905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210,549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6.8 %</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1,114</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1,052</w:t>
            </w:r>
          </w:p>
        </w:tc>
        <w:tc>
          <w:tcPr>
            <w:tcW w:w="88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vMerge w:val="restart"/>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D5DCE4"/>
          </w:tcPr>
          <w:p>
            <w:pPr>
              <w:spacing w:after="0"/>
              <w:rPr>
                <w:sz w:val="18"/>
                <w:szCs w:val="18"/>
                <w:color w:val="auto"/>
              </w:rPr>
            </w:pPr>
          </w:p>
        </w:tc>
        <w:tc>
          <w:tcPr>
            <w:tcW w:w="6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1,114</w:t>
            </w:r>
          </w:p>
        </w:tc>
        <w:tc>
          <w:tcPr>
            <w:tcW w:w="140" w:type="dxa"/>
            <w:vAlign w:val="bottom"/>
            <w:shd w:val="clear" w:color="auto" w:fill="D5DCE4"/>
          </w:tcPr>
          <w:p>
            <w:pPr>
              <w:spacing w:after="0"/>
              <w:rPr>
                <w:sz w:val="18"/>
                <w:szCs w:val="18"/>
                <w:color w:val="auto"/>
              </w:rPr>
            </w:pPr>
          </w:p>
        </w:tc>
        <w:tc>
          <w:tcPr>
            <w:tcW w:w="840" w:type="dxa"/>
            <w:vAlign w:val="bottom"/>
            <w:vMerge w:val="restart"/>
            <w:shd w:val="clear" w:color="auto" w:fill="D5DCE4"/>
          </w:tcPr>
          <w:p>
            <w:pPr>
              <w:jc w:val="right"/>
              <w:ind w:right="159"/>
              <w:spacing w:after="0"/>
              <w:rPr>
                <w:sz w:val="20"/>
                <w:szCs w:val="20"/>
                <w:color w:val="auto"/>
              </w:rPr>
            </w:pPr>
            <w:r>
              <w:rPr>
                <w:rFonts w:ascii="Arial" w:cs="Arial" w:eastAsia="Arial" w:hAnsi="Arial"/>
                <w:sz w:val="16"/>
                <w:szCs w:val="16"/>
                <w:color w:val="auto"/>
              </w:rPr>
              <w:t>1,052</w:t>
            </w:r>
          </w:p>
        </w:tc>
        <w:tc>
          <w:tcPr>
            <w:tcW w:w="8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89"/>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bottom w:val="single" w:sz="8" w:color="083566"/>
            </w:tcBorders>
          </w:tcPr>
          <w:p>
            <w:pPr>
              <w:spacing w:after="0"/>
              <w:rPr>
                <w:sz w:val="7"/>
                <w:szCs w:val="7"/>
                <w:color w:val="auto"/>
              </w:rPr>
            </w:pPr>
          </w:p>
        </w:tc>
        <w:tc>
          <w:tcPr>
            <w:tcW w:w="1000" w:type="dxa"/>
            <w:vAlign w:val="bottom"/>
            <w:tcBorders>
              <w:bottom w:val="single" w:sz="8" w:color="083566"/>
            </w:tcBorders>
            <w:vMerge w:val="continue"/>
            <w:shd w:val="clear" w:color="auto" w:fill="D5DCE4"/>
          </w:tcPr>
          <w:p>
            <w:pPr>
              <w:spacing w:after="0"/>
              <w:rPr>
                <w:sz w:val="7"/>
                <w:szCs w:val="7"/>
                <w:color w:val="auto"/>
              </w:rPr>
            </w:pPr>
          </w:p>
        </w:tc>
        <w:tc>
          <w:tcPr>
            <w:tcW w:w="160" w:type="dxa"/>
            <w:vAlign w:val="bottom"/>
            <w:tcBorders>
              <w:bottom w:val="single" w:sz="8" w:color="083566"/>
            </w:tcBorders>
            <w:shd w:val="clear" w:color="auto" w:fill="D5DCE4"/>
          </w:tcPr>
          <w:p>
            <w:pPr>
              <w:spacing w:after="0"/>
              <w:rPr>
                <w:sz w:val="7"/>
                <w:szCs w:val="7"/>
                <w:color w:val="auto"/>
              </w:rPr>
            </w:pPr>
          </w:p>
        </w:tc>
        <w:tc>
          <w:tcPr>
            <w:tcW w:w="660" w:type="dxa"/>
            <w:vAlign w:val="bottom"/>
            <w:tcBorders>
              <w:bottom w:val="single" w:sz="8" w:color="083566"/>
            </w:tcBorders>
            <w:vMerge w:val="continue"/>
            <w:shd w:val="clear" w:color="auto" w:fill="D5DCE4"/>
          </w:tcPr>
          <w:p>
            <w:pPr>
              <w:spacing w:after="0"/>
              <w:rPr>
                <w:sz w:val="7"/>
                <w:szCs w:val="7"/>
                <w:color w:val="auto"/>
              </w:rPr>
            </w:pPr>
          </w:p>
        </w:tc>
        <w:tc>
          <w:tcPr>
            <w:tcW w:w="140" w:type="dxa"/>
            <w:vAlign w:val="bottom"/>
            <w:tcBorders>
              <w:bottom w:val="single" w:sz="8" w:color="083566"/>
            </w:tcBorders>
            <w:shd w:val="clear" w:color="auto" w:fill="D5DCE4"/>
          </w:tcPr>
          <w:p>
            <w:pPr>
              <w:spacing w:after="0"/>
              <w:rPr>
                <w:sz w:val="7"/>
                <w:szCs w:val="7"/>
                <w:color w:val="auto"/>
              </w:rPr>
            </w:pPr>
          </w:p>
        </w:tc>
        <w:tc>
          <w:tcPr>
            <w:tcW w:w="840" w:type="dxa"/>
            <w:vAlign w:val="bottom"/>
            <w:tcBorders>
              <w:bottom w:val="single" w:sz="8" w:color="083566"/>
            </w:tcBorders>
            <w:vMerge w:val="continue"/>
            <w:shd w:val="clear" w:color="auto" w:fill="D5DCE4"/>
          </w:tcPr>
          <w:p>
            <w:pPr>
              <w:spacing w:after="0"/>
              <w:rPr>
                <w:sz w:val="7"/>
                <w:szCs w:val="7"/>
                <w:color w:val="auto"/>
              </w:rPr>
            </w:pPr>
          </w:p>
        </w:tc>
        <w:tc>
          <w:tcPr>
            <w:tcW w:w="880" w:type="dxa"/>
            <w:vAlign w:val="bottom"/>
            <w:tcBorders>
              <w:bottom w:val="single" w:sz="8" w:color="083566"/>
            </w:tcBorders>
            <w:vMerge w:val="continue"/>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shd w:val="clear" w:color="auto" w:fill="D5DCE4"/>
          </w:tcPr>
          <w:p>
            <w:pPr>
              <w:spacing w:after="0"/>
              <w:rPr>
                <w:sz w:val="8"/>
                <w:szCs w:val="8"/>
                <w:color w:val="auto"/>
              </w:rPr>
            </w:pPr>
          </w:p>
        </w:tc>
        <w:tc>
          <w:tcPr>
            <w:tcW w:w="160" w:type="dxa"/>
            <w:vAlign w:val="bottom"/>
            <w:shd w:val="clear" w:color="auto" w:fill="D5DCE4"/>
          </w:tcPr>
          <w:p>
            <w:pPr>
              <w:spacing w:after="0"/>
              <w:rPr>
                <w:sz w:val="8"/>
                <w:szCs w:val="8"/>
                <w:color w:val="auto"/>
              </w:rPr>
            </w:pPr>
          </w:p>
        </w:tc>
        <w:tc>
          <w:tcPr>
            <w:tcW w:w="660" w:type="dxa"/>
            <w:vAlign w:val="bottom"/>
            <w:shd w:val="clear" w:color="auto" w:fill="D5DCE4"/>
          </w:tcPr>
          <w:p>
            <w:pPr>
              <w:spacing w:after="0"/>
              <w:rPr>
                <w:sz w:val="8"/>
                <w:szCs w:val="8"/>
                <w:color w:val="auto"/>
              </w:rPr>
            </w:pPr>
          </w:p>
        </w:tc>
        <w:tc>
          <w:tcPr>
            <w:tcW w:w="140" w:type="dxa"/>
            <w:vAlign w:val="bottom"/>
            <w:shd w:val="clear" w:color="auto" w:fill="D5DCE4"/>
          </w:tcPr>
          <w:p>
            <w:pPr>
              <w:spacing w:after="0"/>
              <w:rPr>
                <w:sz w:val="8"/>
                <w:szCs w:val="8"/>
                <w:color w:val="auto"/>
              </w:rPr>
            </w:pPr>
          </w:p>
        </w:tc>
        <w:tc>
          <w:tcPr>
            <w:tcW w:w="840" w:type="dxa"/>
            <w:vAlign w:val="bottom"/>
            <w:shd w:val="clear" w:color="auto" w:fill="D5DCE4"/>
          </w:tcPr>
          <w:p>
            <w:pPr>
              <w:spacing w:after="0"/>
              <w:rPr>
                <w:sz w:val="8"/>
                <w:szCs w:val="8"/>
                <w:color w:val="auto"/>
              </w:rPr>
            </w:pPr>
          </w:p>
        </w:tc>
        <w:tc>
          <w:tcPr>
            <w:tcW w:w="88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197,457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185,636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6.4 %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3,153</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2,575</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22.4 %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0.94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0.86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9.3 %</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38.5 %</w:t>
            </w:r>
          </w:p>
        </w:tc>
        <w:tc>
          <w:tcPr>
            <w:tcW w:w="2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41.4 %</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-292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7458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5865" cy="154305"/>
                    </a:xfrm>
                    <a:prstGeom prst="rect">
                      <a:avLst/>
                    </a:prstGeom>
                    <a:noFill/>
                  </pic:spPr>
                </pic:pic>
              </a:graphicData>
            </a:graphic>
          </wp:anchor>
        </w:drawing>
      </w:r>
    </w:p>
    <w:p>
      <w:pPr>
        <w:sectPr>
          <w:pgSz w:w="11900" w:h="16838" w:orient="portrait"/>
          <w:cols w:equalWidth="0" w:num="1">
            <w:col w:w="10920"/>
          </w:cols>
          <w:pgMar w:left="320" w:top="179" w:right="65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318,854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274,423</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16.2 %</w:t>
            </w:r>
          </w:p>
        </w:tc>
        <w:tc>
          <w:tcPr>
            <w:tcW w:w="520" w:type="dxa"/>
            <w:vAlign w:val="bottom"/>
          </w:tcPr>
          <w:p>
            <w:pPr>
              <w:jc w:val="right"/>
              <w:spacing w:after="0"/>
              <w:rPr>
                <w:sz w:val="20"/>
                <w:szCs w:val="20"/>
                <w:color w:val="auto"/>
              </w:rPr>
            </w:pPr>
            <w:r>
              <w:rPr>
                <w:rFonts w:ascii="Arial" w:cs="Arial" w:eastAsia="Arial" w:hAnsi="Arial"/>
                <w:sz w:val="16"/>
                <w:szCs w:val="16"/>
                <w:color w:val="auto"/>
              </w:rPr>
              <w:t>16.0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54.5 %</w:t>
            </w:r>
          </w:p>
        </w:tc>
        <w:tc>
          <w:tcPr>
            <w:tcW w:w="20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54.0 %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296,437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255,546</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16.0 %</w:t>
            </w:r>
          </w:p>
        </w:tc>
        <w:tc>
          <w:tcPr>
            <w:tcW w:w="520" w:type="dxa"/>
            <w:vAlign w:val="bottom"/>
          </w:tcPr>
          <w:p>
            <w:pPr>
              <w:jc w:val="right"/>
              <w:spacing w:after="0"/>
              <w:rPr>
                <w:sz w:val="20"/>
                <w:szCs w:val="20"/>
                <w:color w:val="auto"/>
              </w:rPr>
            </w:pPr>
            <w:r>
              <w:rPr>
                <w:rFonts w:ascii="Arial" w:cs="Arial" w:eastAsia="Arial" w:hAnsi="Arial"/>
                <w:sz w:val="16"/>
                <w:szCs w:val="16"/>
                <w:color w:val="auto"/>
              </w:rPr>
              <w:t>15.7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50.7 %</w:t>
            </w:r>
          </w:p>
        </w:tc>
        <w:tc>
          <w:tcPr>
            <w:tcW w:w="2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50.2 %</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+47 bps</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+13 bps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238,844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206,529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15.6 %</w:t>
            </w:r>
          </w:p>
        </w:tc>
        <w:tc>
          <w:tcPr>
            <w:tcW w:w="520" w:type="dxa"/>
            <w:vAlign w:val="bottom"/>
          </w:tcPr>
          <w:p>
            <w:pPr>
              <w:jc w:val="right"/>
              <w:spacing w:after="0"/>
              <w:rPr>
                <w:sz w:val="20"/>
                <w:szCs w:val="20"/>
                <w:color w:val="auto"/>
              </w:rPr>
            </w:pPr>
            <w:r>
              <w:rPr>
                <w:rFonts w:ascii="Arial" w:cs="Arial" w:eastAsia="Arial" w:hAnsi="Arial"/>
                <w:sz w:val="16"/>
                <w:szCs w:val="16"/>
                <w:color w:val="auto"/>
              </w:rPr>
              <w:t>15.4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1.02</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color w:val="auto"/>
              </w:rPr>
              <w:t>0.87</w:t>
            </w: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17.2 %</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17.4</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34" w:right="200" w:hanging="234"/>
        <w:spacing w:after="0" w:line="26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174" w:hanging="174"/>
        <w:spacing w:after="0"/>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20" w:space="186"/>
            <w:col w:w="4914"/>
          </w:cols>
          <w:pgMar w:left="320" w:top="179" w:right="6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$324.5 million in the third quarter of 2026 increased 18.2% compared to prior year period (increased 18.9%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33.8% from prior year period. U.S. government bond ADV was up 28.0% from prior year period, driven by robust institutional and wholesale activity, with September 2026 marking the most active month for U.S. government bond trading on our platform this year. Swaps/swaptions ≥ 1-year ADV was up 42.4% from prior year period, driven by global central bank policy changes, continued geopolitical tensions and uncertainty surrounding inflation. European government bonds ADV was up 24.5% from prior year period led by strong volumes across our institutional client channel and a growing number of clients trading across a diverse set of trading protocols. Mortgages ADV was down 3.6% from prior year period, against exceptionally strong prior-year performance. The 10.5% decline in rates derivatives ≥ 1-year average variable fees per million in the third quarter of 2026 compared to prior year period was primarily driven by higher compression activity which carries a comparatively lower fee per million as well as lower duration.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$133.0 million in the third quarter of 2026 increased 9.6% compared to prior year period (increased 10.0% on a constant currency</w:t>
      </w:r>
    </w:p>
    <w:p>
      <w:pPr>
        <w:spacing w:after="0" w:line="8" w:lineRule="exact"/>
        <w:rPr>
          <w:sz w:val="20"/>
          <w:szCs w:val="20"/>
          <w:color w:val="auto"/>
        </w:rPr>
      </w:pPr>
    </w:p>
    <w:p>
      <w:pPr>
        <w:ind w:right="120"/>
        <w:spacing w:after="0" w:line="220" w:lineRule="auto"/>
        <w:rPr>
          <w:sz w:val="20"/>
          <w:szCs w:val="20"/>
          <w:color w:val="auto"/>
        </w:rPr>
      </w:pPr>
      <w:r>
        <w:rPr>
          <w:rFonts w:ascii="Arial" w:cs="Arial" w:eastAsia="Arial" w:hAnsi="Arial"/>
          <w:sz w:val="16"/>
          <w:szCs w:val="16"/>
          <w:color w:val="auto"/>
        </w:rPr>
        <w:t>basis). U.S. credit ADV was up 23.9% from prior year period, as client adoption continued across trading protocols, most notably in Portfolio Trading ("PT"), Request-for-Quote ("RFQ") and Tradeweb AllTrade®. European credit ADV was up 8.4% from prior year period, driven by a diverse set of protocols,</w:t>
      </w:r>
    </w:p>
    <w:p>
      <w:pPr>
        <w:ind w:right="160"/>
        <w:spacing w:after="0" w:line="228" w:lineRule="auto"/>
        <w:rPr>
          <w:sz w:val="20"/>
          <w:szCs w:val="20"/>
          <w:color w:val="auto"/>
        </w:rPr>
      </w:pPr>
      <w:r>
        <w:rPr>
          <w:rFonts w:ascii="Arial" w:cs="Arial" w:eastAsia="Arial" w:hAnsi="Arial"/>
          <w:sz w:val="16"/>
          <w:szCs w:val="16"/>
          <w:color w:val="auto"/>
        </w:rPr>
        <w:t>particularly Tradeweb Automated Intelligent Execution ("AiEX"), which reached a record in September 2026 as clients increasingly turned to automated execution. Credit derivatives ADV was up 61.3% from prior year period, driven by increased hedge fund and systematic account activity year-over-year ("YoY") which led to increased swap execution facility ("SEF") and multilateral trading facility ("MTF") credit default swaps activity. Municipal bond ADV was up 9.7% from prior year period, relative to the broader market which was up 13% from prior year period, based on the Municipal Securities Rulemaking</w:t>
      </w:r>
    </w:p>
    <w:p>
      <w:pPr>
        <w:spacing w:after="0" w:line="3" w:lineRule="exact"/>
        <w:rPr>
          <w:sz w:val="20"/>
          <w:szCs w:val="20"/>
          <w:color w:val="auto"/>
        </w:rPr>
      </w:pPr>
    </w:p>
    <w:p>
      <w:pPr>
        <w:ind w:right="220"/>
        <w:spacing w:after="0" w:line="190" w:lineRule="auto"/>
        <w:rPr>
          <w:sz w:val="20"/>
          <w:szCs w:val="20"/>
          <w:color w:val="auto"/>
        </w:rPr>
      </w:pPr>
      <w:r>
        <w:rPr>
          <w:rFonts w:ascii="Arial" w:cs="Arial" w:eastAsia="Arial" w:hAnsi="Arial"/>
          <w:sz w:val="16"/>
          <w:szCs w:val="16"/>
          <w:color w:val="auto"/>
        </w:rPr>
        <w:t>Board ("MSRB"), driven by elevated new issuance which Tradeweb does not participate in. We reported 19.9% share of fully electronic U.S. high grade TRACE</w:t>
      </w:r>
      <w:r>
        <w:rPr>
          <w:rFonts w:ascii="Arial" w:cs="Arial" w:eastAsia="Arial" w:hAnsi="Arial"/>
          <w:sz w:val="21"/>
          <w:szCs w:val="21"/>
          <w:color w:val="auto"/>
          <w:vertAlign w:val="superscript"/>
        </w:rPr>
        <w:t>(3)</w:t>
      </w:r>
      <w:r>
        <w:rPr>
          <w:rFonts w:ascii="Arial" w:cs="Arial" w:eastAsia="Arial" w:hAnsi="Arial"/>
          <w:sz w:val="16"/>
          <w:szCs w:val="16"/>
          <w:color w:val="auto"/>
        </w:rPr>
        <w:t>, up 130 basis points (bps) from prior year period and 7.9% share of fully electronic U.S. high yield TRACE, up 40 bps from prior year period. We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also reported 27.9% total share of U.S. high grade TRACE, up 170 bps from prior year period and 9.9% total share of U.S. high yield TRACE, up 10 bps from prior year period. The 10.6% decline in cash credit average variable fees per million in the third quarter of 2026 compared to prior year period was primarily driven by a mix shift away from higher fee per million municipal bonds and retail U.S. credit and towards PT which carries a comparatively lower fee per million.</w:t>
      </w:r>
    </w:p>
    <w:p>
      <w:pPr>
        <w:spacing w:after="0" w:line="21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$38.4 million in the third quarter of 2026 increased 28.8% compared to prior year period (increased 29.8%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14.4% from prior year period, driven by robust activity in our institutional and wholesale channels, including strong activity in U.S. and international exchange traded funds ("ETFs"), which included an expanded client base and clients' increased adoption of Tradeweb AiEX YoY.</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$44.2 million in the third quarter of 2026 increased 3.0% compared to prior year period (increased 3.0%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6.0% from prior year period, driven by strong global repurchase agreement ADV as a result of increased client activity across the platform, as well as Tradeweb ICD Portal activity, which was driven by continued activity from existing clients and new client additions. This was partially offset by less client demand for commercial paper and discount notes YoY.</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$36.9 million in the third quarter of 2026 increased 19.6% compared to prior year period (increased 19.7%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primarily due to amendments to our LSEG market data license agreement which were effective as of November 2025. The amended market data license agreement included higher overall fees and a change in the timing of the delivery of periodic historical data sets, with more frequent deliveries scheduled under the amended agreement and a corresponding increase in revenue during the third quarter of 2026.</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$7.6 million in the third quarter of 2026 decreased 17.3% compared to prior year period (decreased 17.3%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primarily due to lower digital asset revenue earned for performing validation services on the Canton Network, driven by scheduled changes in the Canton Network’s minting curve and its allocation of rewards to Super Validators and lower software development and implementation revenue on behalf of certain clients.</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$331.1 million in the third quarter of 2026 increased 11.0% compared to $298.2 million in prior year period, primarily due to (i)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primarily due to an increase in incentive compensation expense tied to our financial performance and an increase in headcount and related salaries, benefits and stock-based compensation associated with our continued growth, (ii) an increase in technology and communication expense primarily due to increased investment in our artificial intelligence ("AI") and data strategy and infrastructure, as well as higher data and clearance fees driven primarily by higher trading volumes period-over-period and (iii) an increase in professional fees primarily due to higher technology consulting expenses and professional fees primarily related to mergers and acquisitions and other strategic investing activities.</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$288.1 million in the third quarter of 2026 increased 13.9% (increased 15.1% on a constant currency basis) compared to $253.1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prior year period primarily due to (i) an increase in employee compensation and benefits primarily due to an increase in incentive compensation expense tied to our financial performance and an increase in headcount and related salaries, benefits and stock-based compensation associated with our continued growth and (ii) an increase in technology and communication expense due to increased investment in our AI and data strategy and infrastructure, as well as higher data and clearance fees driven primarily by higher trading volumes period-over-period. Please see "Non-GAAP Financial Measures"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ind w:right="20" w:firstLine="8"/>
        <w:spacing w:after="0" w:line="242" w:lineRule="auto"/>
        <w:tabs>
          <w:tab w:leader="none" w:pos="193"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Beginning August 31, 2026, FINRA changed a TRACE reporting rule to exclude certain duplicate, affiliated trades that had been previously counted in industry volumes. Most market participants began reporting on a voluntary basis under the amended rule for September 2026 reporting, with mandatory compliance beginning August 2, 2027. This change resulted in lowered reported U.S. High Grade TRACE volumes and increased Tradeweb's U.S. High Grade electronic share growth as a percentage of TRACE for the third quarter of 2026. The impact on the third quarter of 2026 U.S. High Yield share growth was minimal. TRACE and Tradeweb have not restated prior periods and therefore these amounts may not be comparable.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right="20"/>
        <w:spacing w:after="0" w:line="265" w:lineRule="auto"/>
        <w:rPr>
          <w:sz w:val="20"/>
          <w:szCs w:val="20"/>
          <w:color w:val="auto"/>
        </w:rPr>
      </w:pPr>
      <w:r>
        <w:rPr>
          <w:rFonts w:ascii="Arial" w:cs="Arial" w:eastAsia="Arial" w:hAnsi="Arial"/>
          <w:sz w:val="16"/>
          <w:szCs w:val="16"/>
          <w:b w:val="1"/>
          <w:bCs w:val="1"/>
          <w:color w:val="auto"/>
        </w:rPr>
        <w:t xml:space="preserve">Non-operating Income – Other income (loss), net </w:t>
      </w:r>
      <w:r>
        <w:rPr>
          <w:rFonts w:ascii="Arial" w:cs="Arial" w:eastAsia="Arial" w:hAnsi="Arial"/>
          <w:sz w:val="16"/>
          <w:szCs w:val="16"/>
          <w:color w:val="auto"/>
        </w:rPr>
        <w:t>of $18.7 million of income in the third quarter of 2026 decreased 52.5% compared to $39.4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prior year period. Third quarter 2026 other income was primarily due to the reclassification of $27.5 million of unrealized gains from accumulated other comprehensive income into other income upon the July 1, 2026 conversion of our holding of a convertible note into publicly traded common shares of Securitize and $14.4 million in unrealized gains on a minority equity investment, partially offset by a $24.0 million unrealized loss relating to a decrease in fair value of our Canton Coin holdings. Other income (loss), net is excluded from all non-GAAP financial measures.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2026</w:t>
      </w:r>
    </w:p>
    <w:p>
      <w:pPr>
        <w:spacing w:after="0" w:line="248" w:lineRule="exact"/>
        <w:rPr>
          <w:sz w:val="20"/>
          <w:szCs w:val="20"/>
          <w:color w:val="auto"/>
        </w:rPr>
      </w:pPr>
    </w:p>
    <w:p>
      <w:pPr>
        <w:ind w:left="660" w:right="260" w:hanging="328"/>
        <w:spacing w:after="0"/>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Entered into a definitive agreement to acquire Trumid Holdings, LLC (“Trumid”), a financial technology company and electronic credit trading marketplace, for a total purchase price of approximately $1.97 billion ($1.89 billion cash, $82.0 million equity), subject to customary adjustments, comprising approximately $1.75 billion for the business and $220 million for tax assets being acquired (NPV</w:t>
      </w:r>
      <w:r>
        <w:rPr>
          <w:rFonts w:ascii="Arial" w:cs="Arial" w:eastAsia="Arial" w:hAnsi="Arial"/>
          <w:sz w:val="21"/>
          <w:szCs w:val="21"/>
          <w:color w:val="auto"/>
          <w:vertAlign w:val="superscript"/>
        </w:rPr>
        <w:t>(4)</w:t>
      </w:r>
      <w:r>
        <w:rPr>
          <w:rFonts w:ascii="Arial" w:cs="Arial" w:eastAsia="Arial" w:hAnsi="Arial"/>
          <w:sz w:val="16"/>
          <w:szCs w:val="16"/>
          <w:color w:val="auto"/>
        </w:rPr>
        <w:t>; gross value ~$345 million).</w:t>
      </w:r>
    </w:p>
    <w:p>
      <w:pPr>
        <w:ind w:left="640" w:hanging="308"/>
        <w:spacing w:after="0" w:line="228"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Participated in Capitolis’ $220 million round of financing, including a $120 million Series E equity financing round at a $1.9 billion valuation.</w:t>
      </w:r>
    </w:p>
    <w:p>
      <w:pPr>
        <w:ind w:left="660" w:right="220" w:hanging="328"/>
        <w:spacing w:after="0" w:line="24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Americas Swap Execution Facility of the Year – Tradeweb (2026 GlobalCapital Americas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Awards).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2026</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Core Markets</w:t>
      </w:r>
    </w:p>
    <w:p>
      <w:pPr>
        <w:spacing w:after="0" w:line="19" w:lineRule="exact"/>
        <w:rPr>
          <w:sz w:val="20"/>
          <w:szCs w:val="20"/>
          <w:color w:val="auto"/>
        </w:rPr>
      </w:pPr>
    </w:p>
    <w:p>
      <w:pPr>
        <w:ind w:left="660" w:right="200" w:hanging="328"/>
        <w:spacing w:after="0" w:line="22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Introduced a suite of advancements to Tradeweb Ai-Price, Tradeweb's automated bond pricing engine, including expanded data inputs, upgraded machine learning models and more real-time, intraday-responsive pricing.</w:t>
      </w:r>
    </w:p>
    <w:p>
      <w:pPr>
        <w:spacing w:after="0" w:line="1" w:lineRule="exact"/>
        <w:rPr>
          <w:rFonts w:ascii="Arial" w:cs="Arial" w:eastAsia="Arial" w:hAnsi="Arial"/>
          <w:sz w:val="16"/>
          <w:szCs w:val="16"/>
          <w:color w:val="auto"/>
        </w:rPr>
      </w:pPr>
    </w:p>
    <w:p>
      <w:pPr>
        <w:ind w:left="660" w:right="28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Launched a local-to-local trading and post-trade workflow on Tradeweb’s Alternative Trading System ("ATS") for Sukuk and Saudi Riyal ("SAR")-denominated debt instruments in the Kingdom of Saudi Arabia.</w:t>
      </w:r>
    </w:p>
    <w:p>
      <w:pPr>
        <w:spacing w:after="0" w:line="1" w:lineRule="exact"/>
        <w:rPr>
          <w:rFonts w:ascii="Arial" w:cs="Arial" w:eastAsia="Arial" w:hAnsi="Arial"/>
          <w:sz w:val="16"/>
          <w:szCs w:val="16"/>
          <w:color w:val="auto"/>
        </w:rPr>
      </w:pPr>
    </w:p>
    <w:p>
      <w:pPr>
        <w:ind w:left="660" w:right="58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Partnered with Ultumus, a SIX company, to bring Ultumus’ Portfolio Composition File ("PCF") calculation and distribution service directly into Tradeweb’s indicative net asset value ("iNAV") calculation engine.</w:t>
      </w:r>
    </w:p>
    <w:p>
      <w:pPr>
        <w:spacing w:after="0" w:line="1" w:lineRule="exact"/>
        <w:rPr>
          <w:rFonts w:ascii="Arial" w:cs="Arial" w:eastAsia="Arial" w:hAnsi="Arial"/>
          <w:sz w:val="16"/>
          <w:szCs w:val="16"/>
          <w:color w:val="auto"/>
        </w:rPr>
      </w:pPr>
    </w:p>
    <w:p>
      <w:pPr>
        <w:ind w:left="660" w:right="22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Extended the distribution of our licensed Tradeweb FTSE Benchmark Closing Prices through Pyth Network's Data Marketplace, alongside pricing derived from our electronic fixed income marketplaces.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Announced our multi-year partnership with professional golfer James Nicholas.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Frontier Markets</w:t>
      </w:r>
    </w:p>
    <w:p>
      <w:pPr>
        <w:spacing w:after="0" w:line="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Completed the first landmark real-time transaction involving tokenized U.S. Treasuries on Tradeweb with the Canton Network.</w:t>
      </w:r>
    </w:p>
    <w:p>
      <w:pPr>
        <w:spacing w:after="0" w:line="5"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Participated in the Depository Trust &amp; Clearing Corporation ("DTCC")'s successful processing of U.S. Treasury transactions using tokenized assets held at The Depository Trust Company ("DTC") - the largest tokenization production initiative to date.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Awards</w:t>
      </w:r>
    </w:p>
    <w:p>
      <w:pPr>
        <w:spacing w:after="0" w:line="19" w:lineRule="exact"/>
        <w:rPr>
          <w:sz w:val="20"/>
          <w:szCs w:val="20"/>
          <w:color w:val="auto"/>
        </w:rPr>
      </w:pPr>
    </w:p>
    <w:p>
      <w:pPr>
        <w:ind w:left="660" w:right="46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Most Influential in European Finance – Enrico Bruni (Financial News); Best Fixed Income Trading</w:t>
      </w:r>
      <w:r>
        <w:rPr>
          <w:rFonts w:ascii="Arial" w:cs="Arial" w:eastAsia="Arial" w:hAnsi="Arial"/>
          <w:sz w:val="16"/>
          <w:szCs w:val="16"/>
          <w:color w:val="auto"/>
        </w:rPr>
        <w:t xml:space="preserve"> </w:t>
      </w:r>
      <w:r>
        <w:rPr>
          <w:rFonts w:ascii="Arial" w:cs="Arial" w:eastAsia="Arial" w:hAnsi="Arial"/>
          <w:sz w:val="16"/>
          <w:szCs w:val="16"/>
          <w:i w:val="1"/>
          <w:iCs w:val="1"/>
          <w:color w:val="auto"/>
        </w:rPr>
        <w:t>Solution – Tradeweb (Capital Markets Technology Awards APAC 2026)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27" w:lineRule="exact"/>
        <w:rPr>
          <w:sz w:val="20"/>
          <w:szCs w:val="20"/>
          <w:color w:val="auto"/>
        </w:rPr>
      </w:pPr>
    </w:p>
    <w:p>
      <w:pPr>
        <w:ind w:left="640" w:hanging="308"/>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$2.1 billion in cash and cash equivalents and an undrawn $500 million credit facility as of September 30, 2026</w:t>
      </w:r>
    </w:p>
    <w:p>
      <w:pPr>
        <w:spacing w:after="0" w:line="21" w:lineRule="exact"/>
        <w:rPr>
          <w:rFonts w:ascii="Arial" w:cs="Arial" w:eastAsia="Arial" w:hAnsi="Arial"/>
          <w:sz w:val="16"/>
          <w:szCs w:val="16"/>
          <w:color w:val="auto"/>
        </w:rPr>
      </w:pPr>
    </w:p>
    <w:p>
      <w:pPr>
        <w:ind w:left="660" w:right="280" w:hanging="328"/>
        <w:spacing w:after="0" w:line="252"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$1.89 billion cash component of the Trumid acquisition is expected to be funded primarily with cash on hand, and the acquisition is currently targeted to close in the first half 2027, subject to customary purchase price adjustments and the satisfaction of regulatory approvals and other customary closing conditions</w:t>
      </w:r>
    </w:p>
    <w:p>
      <w:pPr>
        <w:ind w:left="660" w:right="220" w:hanging="328"/>
        <w:spacing w:after="0" w:line="255"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of September 30, 2026, we held 1.6 billion Canton Coins, valued at $207.5 million of which we are restricted in our ability to transfer 1.3 billion Canton Coins, valued at $163.7 million</w:t>
      </w:r>
    </w:p>
    <w:p>
      <w:pPr>
        <w:ind w:left="660" w:right="300" w:hanging="328"/>
        <w:spacing w:after="0" w:line="252"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2026 of $1.1 billion, up 9.7% compared to prior year period. See “Non-GAAP Financial Measures” for additional information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Cash paid for capital expenditures and capitalized software development during the third quarter of 2026 of $29.2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Cash paid for investments during the third quarter of 2026 of $20.0 million</w:t>
      </w:r>
    </w:p>
    <w:p>
      <w:pPr>
        <w:spacing w:after="0" w:line="16" w:lineRule="exact"/>
        <w:rPr>
          <w:rFonts w:ascii="Arial" w:cs="Arial" w:eastAsia="Arial" w:hAnsi="Arial"/>
          <w:sz w:val="16"/>
          <w:szCs w:val="16"/>
          <w:color w:val="auto"/>
        </w:rPr>
      </w:pPr>
    </w:p>
    <w:p>
      <w:pPr>
        <w:ind w:left="660" w:right="500" w:hanging="328"/>
        <w:spacing w:after="0" w:line="250"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6"/>
          <w:szCs w:val="16"/>
          <w:color w:val="auto"/>
        </w:rPr>
        <w:t>During the third quarter of 2026, Tradeweb purchased a total of 2,020,555 shares of Class A common stock, at an average price per share of $103.83, for purchases totaling $209.8 million. As of September 30, 2026, $124.5 million in share repurchase authorization remained</w:t>
      </w:r>
    </w:p>
    <w:p>
      <w:pPr>
        <w:ind w:left="660" w:right="400" w:hanging="328"/>
        <w:spacing w:after="0" w:line="252"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$0.9 million in shares of Class A common stock were withheld during the third quarter of 2026 to satisfy tax obligations related to the vesting or exercise of employee stock-based compensation awards</w:t>
      </w:r>
    </w:p>
    <w:p>
      <w:pPr>
        <w:spacing w:after="0" w:line="1" w:lineRule="exact"/>
        <w:rPr>
          <w:rFonts w:ascii="Arial" w:cs="Arial" w:eastAsia="Arial" w:hAnsi="Arial"/>
          <w:sz w:val="16"/>
          <w:szCs w:val="16"/>
          <w:color w:val="auto"/>
        </w:rPr>
      </w:pPr>
    </w:p>
    <w:p>
      <w:pPr>
        <w:ind w:left="660" w:right="580" w:hanging="328"/>
        <w:spacing w:after="0" w:line="270"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$0.14 per share of Class A common stock and Class B common stock. The dividend will be payable on December 15, 2026 to stockholders of record as of December 1, 2026</w:t>
      </w:r>
    </w:p>
    <w:p>
      <w:pPr>
        <w:spacing w:after="0" w:line="206" w:lineRule="exact"/>
        <w:rPr>
          <w:rFonts w:ascii="Arial" w:cs="Arial" w:eastAsia="Arial" w:hAnsi="Arial"/>
          <w:sz w:val="16"/>
          <w:szCs w:val="16"/>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Net present value of tax assets estimated based on 7%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4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2026 Guidance*</w:t>
      </w:r>
    </w:p>
    <w:p>
      <w:pPr>
        <w:spacing w:after="0" w:line="12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Expenses: $1,155 - 1,175 million (trending towards the middle of the range)</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$160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Assumed non-GAAP tax rate: ~23.5% - 24.5%</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~$107 - 117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LSEG Market Data Contract Revenue: ~$105 million</w:t>
      </w:r>
    </w:p>
    <w:p>
      <w:pPr>
        <w:spacing w:after="0" w:line="23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adjusted expense guidance has been revised to reflect the year-to-date revenue growth coupled with our current expectations for the remainder of the year. Depreciation and amortization, assumed non-GAAP tax rate, expenditures and LSEG Market Data Contract Revenue guidance is unchanged from the guidance we provided last quarter.</w:t>
      </w:r>
    </w:p>
    <w:p>
      <w:pPr>
        <w:spacing w:after="0" w:line="211" w:lineRule="exact"/>
        <w:rPr>
          <w:sz w:val="20"/>
          <w:szCs w:val="20"/>
          <w:color w:val="auto"/>
        </w:rPr>
      </w:pPr>
    </w:p>
    <w:p>
      <w:pPr>
        <w:ind w:left="340" w:right="60"/>
        <w:spacing w:after="0" w:line="271"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2026 Sterling/US$ foreign exchange rate of 1.32. Our updated full-year 2026 guidance does not incorporate the impact of any potential strategic acquisitions that have been announced by us but not yet closed.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 xml:space="preserve">Tradeweb Markets will hold a conference call to discuss third quarter 2026 results starting at 9:30 AM EDT today, October 29, 2026.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8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https://edge.media-server.com/mmc/p/2y57g9xz/</w:t>
      </w:r>
    </w:p>
    <w:p>
      <w:pPr>
        <w:spacing w:after="0" w:line="12" w:lineRule="exact"/>
        <w:rPr>
          <w:rFonts w:ascii="Arial" w:cs="Arial" w:eastAsia="Arial" w:hAnsi="Arial"/>
          <w:sz w:val="20"/>
          <w:szCs w:val="20"/>
          <w:color w:val="auto"/>
        </w:rPr>
      </w:pPr>
    </w:p>
    <w:p>
      <w:pPr>
        <w:ind w:left="660" w:right="40" w:hanging="328"/>
        <w:spacing w:after="0" w:line="22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https://register-conf.media-server.com/register/BIa47df4d165244f798b20531067a7d252</w:t>
      </w:r>
      <w:r>
        <w:rPr>
          <w:rFonts w:ascii="Arial" w:cs="Arial" w:eastAsia="Arial" w:hAnsi="Arial"/>
          <w:sz w:val="16"/>
          <w:szCs w:val="16"/>
          <w:color w:val="auto"/>
        </w:rPr>
        <w:t>. Registered participants will receive an email confirmation with a unique PIN to access the conference call.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$3.0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r>
      <w:tr>
        <w:trPr>
          <w:trHeight w:val="237"/>
        </w:trPr>
        <w:tc>
          <w:tcPr>
            <w:tcW w:w="4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60" w:type="dxa"/>
            <w:vAlign w:val="bottom"/>
            <w:gridSpan w:val="9"/>
          </w:tcPr>
          <w:p>
            <w:pPr>
              <w:jc w:val="right"/>
              <w:ind w:right="21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980" w:type="dxa"/>
            <w:vAlign w:val="bottom"/>
          </w:tcPr>
          <w:p>
            <w:pPr>
              <w:spacing w:after="0"/>
              <w:rPr>
                <w:sz w:val="19"/>
                <w:szCs w:val="19"/>
                <w:color w:val="auto"/>
              </w:rPr>
            </w:pPr>
          </w:p>
        </w:tc>
      </w:tr>
      <w:tr>
        <w:trPr>
          <w:trHeight w:val="24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491,797</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421,309</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1,480,965</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1,272,421</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61,410</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60,830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183,407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173,999</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26,539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79,777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70,028</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4,799</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5,925</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17,106</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14,798</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584,545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508,598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1,761,255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1,531,246</w:t>
            </w:r>
          </w:p>
        </w:tc>
      </w:tr>
      <w:tr>
        <w:trPr>
          <w:trHeight w:val="274"/>
        </w:trPr>
        <w:tc>
          <w:tcPr>
            <w:tcW w:w="49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520" w:type="dxa"/>
            <w:vAlign w:val="bottom"/>
            <w:shd w:val="clear" w:color="auto" w:fill="D5DCE4"/>
          </w:tcPr>
          <w:p>
            <w:pPr>
              <w:spacing w:after="0"/>
              <w:rPr>
                <w:sz w:val="23"/>
                <w:szCs w:val="23"/>
                <w:color w:val="auto"/>
              </w:rPr>
            </w:pPr>
          </w:p>
        </w:tc>
        <w:tc>
          <w:tcPr>
            <w:tcW w:w="9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540" w:type="dxa"/>
            <w:vAlign w:val="bottom"/>
            <w:shd w:val="clear" w:color="auto" w:fill="D5DCE4"/>
          </w:tcPr>
          <w:p>
            <w:pPr>
              <w:spacing w:after="0"/>
              <w:rPr>
                <w:sz w:val="23"/>
                <w:szCs w:val="23"/>
                <w:color w:val="auto"/>
              </w:rPr>
            </w:pPr>
          </w:p>
        </w:tc>
        <w:tc>
          <w:tcPr>
            <w:tcW w:w="980" w:type="dxa"/>
            <w:vAlign w:val="bottom"/>
            <w:shd w:val="clear" w:color="auto" w:fill="D5DCE4"/>
          </w:tcPr>
          <w:p>
            <w:pPr>
              <w:spacing w:after="0"/>
              <w:rPr>
                <w:sz w:val="23"/>
                <w:szCs w:val="23"/>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178,927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164,993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549,182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511,563</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64,351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184,515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190,098</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44,623</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33,867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126,148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92,807</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45,884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66,616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19,757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11,483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44,846</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38,100</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8,165</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24,735</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17,737</w:t>
            </w: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331,115</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298,227</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975,310</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916,921</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253,430</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210,371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785,945</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614,325</w:t>
            </w: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18,353</w:t>
            </w:r>
          </w:p>
        </w:tc>
        <w:tc>
          <w:tcPr>
            <w:tcW w:w="80" w:type="dxa"/>
            <w:vAlign w:val="bottom"/>
            <w:shd w:val="clear" w:color="auto" w:fill="D5DCE4"/>
          </w:tcPr>
          <w:p>
            <w:pPr>
              <w:spacing w:after="0"/>
              <w:rPr>
                <w:sz w:val="20"/>
                <w:szCs w:val="20"/>
                <w:color w:val="auto"/>
              </w:rPr>
            </w:pPr>
          </w:p>
        </w:tc>
        <w:tc>
          <w:tcPr>
            <w:tcW w:w="520" w:type="dxa"/>
            <w:vAlign w:val="bottom"/>
            <w:shd w:val="clear" w:color="auto" w:fill="D5DCE4"/>
          </w:tcPr>
          <w:p>
            <w:pPr>
              <w:spacing w:after="0"/>
              <w:rPr>
                <w:sz w:val="20"/>
                <w:szCs w:val="20"/>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20,348</w:t>
            </w: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53,955</w:t>
            </w:r>
          </w:p>
        </w:tc>
        <w:tc>
          <w:tcPr>
            <w:tcW w:w="80" w:type="dxa"/>
            <w:vAlign w:val="bottom"/>
            <w:shd w:val="clear" w:color="auto" w:fill="D5DCE4"/>
          </w:tcPr>
          <w:p>
            <w:pPr>
              <w:spacing w:after="0"/>
              <w:rPr>
                <w:sz w:val="20"/>
                <w:szCs w:val="20"/>
                <w:color w:val="auto"/>
              </w:rPr>
            </w:pPr>
          </w:p>
        </w:tc>
        <w:tc>
          <w:tcPr>
            <w:tcW w:w="540" w:type="dxa"/>
            <w:vAlign w:val="bottom"/>
            <w:shd w:val="clear" w:color="auto" w:fill="D5DCE4"/>
          </w:tcPr>
          <w:p>
            <w:pPr>
              <w:spacing w:after="0"/>
              <w:rPr>
                <w:sz w:val="20"/>
                <w:szCs w:val="20"/>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49,169</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(1,538)</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18,742</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39,420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24,864</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56,306</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290,003</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269,617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863,113</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718,262</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(65,098)</w:t>
            </w:r>
          </w:p>
        </w:tc>
        <w:tc>
          <w:tcPr>
            <w:tcW w:w="8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(59,068)</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(198,355)</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(163,886)</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224,905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210,549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664,758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554,376</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27,448</w:t>
            </w:r>
          </w:p>
        </w:tc>
        <w:tc>
          <w:tcPr>
            <w:tcW w:w="8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24,913</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80,699</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66,576</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197,457</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185,636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584,059</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487,800</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2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6"/>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D5DCE4"/>
            </w:tcBorders>
            <w:shd w:val="clear" w:color="auto" w:fill="D5DCE4"/>
          </w:tcPr>
          <w:p>
            <w:pPr>
              <w:spacing w:after="0"/>
              <w:rPr>
                <w:sz w:val="23"/>
                <w:szCs w:val="23"/>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0.87</w:t>
            </w:r>
          </w:p>
        </w:tc>
        <w:tc>
          <w:tcPr>
            <w:tcW w:w="80" w:type="dxa"/>
            <w:vAlign w:val="bottom"/>
            <w:tcBorders>
              <w:bottom w:val="single" w:sz="8" w:color="D5DCE4"/>
            </w:tcBorders>
            <w:shd w:val="clear" w:color="auto" w:fill="D5DCE4"/>
          </w:tcPr>
          <w:p>
            <w:pPr>
              <w:spacing w:after="0"/>
              <w:rPr>
                <w:sz w:val="23"/>
                <w:szCs w:val="23"/>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2.76</w:t>
            </w:r>
          </w:p>
        </w:tc>
        <w:tc>
          <w:tcPr>
            <w:tcW w:w="80" w:type="dxa"/>
            <w:vAlign w:val="bottom"/>
            <w:tcBorders>
              <w:bottom w:val="single" w:sz="8" w:color="D5DCE4"/>
            </w:tcBorders>
            <w:shd w:val="clear" w:color="auto" w:fill="D5DCE4"/>
          </w:tcPr>
          <w:p>
            <w:pPr>
              <w:spacing w:after="0"/>
              <w:rPr>
                <w:sz w:val="23"/>
                <w:szCs w:val="23"/>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2.29</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2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210,409,905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213,359,090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211,844,545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213,263,111</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210,903,847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98"/>
              </w:rPr>
              <w:t>214,983,486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212,332,878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98"/>
              </w:rPr>
              <w:t>214,951,279</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80" w:type="dxa"/>
            <w:vAlign w:val="bottom"/>
            <w:gridSpan w:val="2"/>
            <w:vMerge w:val="restart"/>
          </w:tcPr>
          <w:p>
            <w:pPr>
              <w:ind w:left="20"/>
              <w:spacing w:after="0" w:line="175"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EBIT Margin</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77"/>
        </w:trPr>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224,905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210,549</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664,758</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554,376</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4,170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4,652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6,734</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(18,353)</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(20,348)</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(53,955)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(49,169)</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62,319</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64,351</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184,515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190,098</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1,791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65,098</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59,068</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198,355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163,886</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(1,422)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(14,231)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17,579</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(18,742)</w:t>
            </w:r>
          </w:p>
        </w:tc>
        <w:tc>
          <w:tcPr>
            <w:tcW w:w="8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(39,420)</w:t>
            </w:r>
          </w:p>
        </w:tc>
        <w:tc>
          <w:tcPr>
            <w:tcW w:w="80" w:type="dxa"/>
            <w:vAlign w:val="bottom"/>
            <w:tcBorders>
              <w:bottom w:val="single" w:sz="8" w:color="D5DCE4"/>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(24,864)</w:t>
            </w:r>
          </w:p>
        </w:tc>
        <w:tc>
          <w:tcPr>
            <w:tcW w:w="8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(56,306)</w:t>
            </w:r>
          </w:p>
        </w:tc>
        <w:tc>
          <w:tcPr>
            <w:tcW w:w="0" w:type="dxa"/>
            <w:vAlign w:val="bottom"/>
          </w:tcPr>
          <w:p>
            <w:pPr>
              <w:spacing w:after="0"/>
              <w:rPr>
                <w:sz w:val="1"/>
                <w:szCs w:val="1"/>
                <w:color w:val="auto"/>
              </w:rPr>
            </w:pPr>
          </w:p>
        </w:tc>
      </w:tr>
      <w:tr>
        <w:trPr>
          <w:trHeight w:val="268"/>
        </w:trPr>
        <w:tc>
          <w:tcPr>
            <w:tcW w:w="46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318,854</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274,423</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962,672</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830,538</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(62,319)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(64,351)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(184,515)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(190,098)</w:t>
            </w:r>
          </w:p>
        </w:tc>
        <w:tc>
          <w:tcPr>
            <w:tcW w:w="0" w:type="dxa"/>
            <w:vAlign w:val="bottom"/>
          </w:tcPr>
          <w:p>
            <w:pPr>
              <w:spacing w:after="0"/>
              <w:rPr>
                <w:sz w:val="1"/>
                <w:szCs w:val="1"/>
                <w:color w:val="auto"/>
              </w:rPr>
            </w:pPr>
          </w:p>
        </w:tc>
      </w:tr>
      <w:tr>
        <w:trPr>
          <w:trHeight w:val="18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119,706</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136,421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296,437</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255,546</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897,863</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776,861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38.5 %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41.4 %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37.7 %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54.5 %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50.2 %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24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440" w:right="40" w:hanging="414"/>
        <w:spacing w:after="0" w:line="270"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certain non-cash stock-based compensation expense and related payroll taxes, the composition of which may vary each period based on applicable activity. During the three and nine months ended September 30, 2026 and 2025, this adjustment includes $0.4 million, $0.6 million, $1.7 million and $1.8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p>
      <w:pPr>
        <w:spacing w:after="0" w:line="13" w:lineRule="exact"/>
        <w:rPr>
          <w:rFonts w:ascii="Arial" w:cs="Arial" w:eastAsia="Arial" w:hAnsi="Arial"/>
          <w:sz w:val="12"/>
          <w:szCs w:val="12"/>
          <w:color w:val="auto"/>
        </w:rPr>
      </w:pPr>
    </w:p>
    <w:p>
      <w:pPr>
        <w:ind w:left="440" w:right="14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44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73" w:right="339" w:bottom="1440" w:gutter="0" w:footer="0" w:header="0"/>
        </w:sectPr>
      </w:pPr>
    </w:p>
    <w:bookmarkStart w:id="9" w:name="page10"/>
    <w:bookmarkEnd w:id="9"/>
    <w:p>
      <w:pPr>
        <w:spacing w:after="0" w:line="29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1203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960" w:type="dxa"/>
            <w:vAlign w:val="bottom"/>
          </w:tcPr>
          <w:p>
            <w:pPr>
              <w:spacing w:after="0"/>
              <w:rPr>
                <w:sz w:val="21"/>
                <w:szCs w:val="21"/>
                <w:color w:val="auto"/>
              </w:rPr>
            </w:pPr>
          </w:p>
        </w:tc>
        <w:tc>
          <w:tcPr>
            <w:tcW w:w="220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1"/>
                <w:szCs w:val="21"/>
                <w:color w:val="auto"/>
              </w:rPr>
            </w:pPr>
          </w:p>
        </w:tc>
        <w:tc>
          <w:tcPr>
            <w:tcW w:w="2120" w:type="dxa"/>
            <w:vAlign w:val="bottom"/>
          </w:tcPr>
          <w:p>
            <w:pPr>
              <w:jc w:val="center"/>
              <w:ind w:right="879"/>
              <w:spacing w:after="0"/>
              <w:rPr>
                <w:sz w:val="20"/>
                <w:szCs w:val="20"/>
                <w:color w:val="auto"/>
              </w:rPr>
            </w:pPr>
            <w:r>
              <w:rPr>
                <w:rFonts w:ascii="Arial" w:cs="Arial" w:eastAsia="Arial" w:hAnsi="Arial"/>
                <w:sz w:val="16"/>
                <w:szCs w:val="16"/>
                <w:b w:val="1"/>
                <w:bCs w:val="1"/>
                <w:color w:val="auto"/>
              </w:rPr>
              <w:t>September 30,</w:t>
            </w:r>
          </w:p>
        </w:tc>
      </w:tr>
      <w:tr>
        <w:trPr>
          <w:trHeight w:val="233"/>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960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59" w:lineRule="exact"/>
        <w:rPr>
          <w:sz w:val="20"/>
          <w:szCs w:val="20"/>
          <w:color w:val="auto"/>
        </w:rPr>
      </w:pPr>
    </w:p>
    <w:p>
      <w:pPr>
        <w:sectPr>
          <w:pgSz w:w="11900" w:h="16838" w:orient="portrait"/>
          <w:cols w:equalWidth="0" w:num="2">
            <w:col w:w="4440" w:space="560"/>
            <w:col w:w="6240"/>
          </w:cols>
          <w:pgMar w:left="320" w:top="827" w:right="339" w:bottom="1440" w:gutter="0" w:footer="0" w:header="0"/>
        </w:sectPr>
      </w:pPr>
    </w:p>
    <w:tbl>
      <w:tblPr>
        <w:tblLayout w:type="fixed"/>
        <w:tblInd w:w="0" w:type="dxa"/>
        <w:tblCellMar>
          <w:top w:w="0" w:type="dxa"/>
          <w:left w:w="0" w:type="dxa"/>
          <w:bottom w:w="0" w:type="dxa"/>
          <w:right w:w="0" w:type="dxa"/>
        </w:tblCellMar>
      </w:tblPr>
      <w:tr>
        <w:trPr>
          <w:trHeight w:val="256"/>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0.86</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2.75</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197,457</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185,636</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584,059</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487,800</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27,448</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24,913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80,699</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66,576</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224,905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210,549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664,758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554,376</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65,098</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59,068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198,355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163,886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6,734</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119,706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136,421</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(1,372)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(14,231)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17,579</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(18,742)</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(39,420)</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(24,864)</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(56,306)</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314,268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275,372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950,167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824,492</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(75,424)</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(68,843)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(228,040)</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(206,123)</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238,844</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206,529</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722,127</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618,369</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2"/>
        </w:trPr>
        <w:tc>
          <w:tcPr>
            <w:tcW w:w="5000" w:type="dxa"/>
            <w:vAlign w:val="bottom"/>
            <w:tcBorders>
              <w:bottom w:val="single" w:sz="8" w:color="D5DCE4"/>
            </w:tcBorders>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0.87</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3.07</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2.60</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25" w:lineRule="exact"/>
        <w:rPr>
          <w:rFonts w:ascii="Arial" w:cs="Arial" w:eastAsia="Arial" w:hAnsi="Arial"/>
          <w:sz w:val="12"/>
          <w:szCs w:val="12"/>
          <w:color w:val="auto"/>
        </w:rPr>
      </w:pPr>
    </w:p>
    <w:p>
      <w:pPr>
        <w:ind w:left="440" w:right="26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5" w:lineRule="exact"/>
        <w:rPr>
          <w:rFonts w:ascii="Arial" w:cs="Arial" w:eastAsia="Arial" w:hAnsi="Arial"/>
          <w:sz w:val="12"/>
          <w:szCs w:val="12"/>
          <w:color w:val="auto"/>
        </w:rPr>
      </w:pPr>
    </w:p>
    <w:p>
      <w:pPr>
        <w:ind w:left="440" w:right="38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40" w:hanging="414"/>
        <w:spacing w:after="0" w:line="262"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certain non-cash stock-based compensation expense and related payroll taxes, the composition of which may vary each period based on applicable activity. During the three and nine months ended September 30, 2026 and 2025, this adjustment includes $0.4 million, $0.6 million, $1.7 million and $1.8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p>
      <w:pPr>
        <w:spacing w:after="0" w:line="31" w:lineRule="exact"/>
        <w:rPr>
          <w:rFonts w:ascii="Arial" w:cs="Arial" w:eastAsia="Arial" w:hAnsi="Arial"/>
          <w:sz w:val="12"/>
          <w:szCs w:val="12"/>
          <w:color w:val="auto"/>
        </w:rPr>
      </w:pPr>
    </w:p>
    <w:p>
      <w:pPr>
        <w:ind w:left="440" w:right="16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5" w:lineRule="exact"/>
        <w:rPr>
          <w:rFonts w:ascii="Arial" w:cs="Arial" w:eastAsia="Arial" w:hAnsi="Arial"/>
          <w:sz w:val="12"/>
          <w:szCs w:val="12"/>
          <w:color w:val="auto"/>
        </w:rPr>
      </w:pPr>
    </w:p>
    <w:p>
      <w:pPr>
        <w:ind w:left="440" w:right="46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93" w:lineRule="exact"/>
        <w:rPr>
          <w:rFonts w:ascii="Arial" w:cs="Arial" w:eastAsia="Arial" w:hAnsi="Arial"/>
          <w:sz w:val="12"/>
          <w:szCs w:val="12"/>
          <w:color w:val="auto"/>
        </w:rPr>
      </w:pPr>
    </w:p>
    <w:p>
      <w:pPr>
        <w:ind w:left="440" w:right="16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24.0% for the three and nine months ended September 30, 2026 and 25.0% for the three and nine months ended September 30, 2025, applied to Adjusted Net Income before income taxes.</w:t>
      </w:r>
    </w:p>
    <w:p>
      <w:pPr>
        <w:spacing w:after="0" w:line="25" w:lineRule="exact"/>
        <w:rPr>
          <w:rFonts w:ascii="Arial" w:cs="Arial" w:eastAsia="Arial" w:hAnsi="Arial"/>
          <w:sz w:val="12"/>
          <w:szCs w:val="12"/>
          <w:color w:val="auto"/>
        </w:rPr>
      </w:pPr>
    </w:p>
    <w:p>
      <w:pPr>
        <w:ind w:left="440" w:right="10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27" w:right="339" w:bottom="1440" w:gutter="0" w:footer="0" w:header="0"/>
          <w:type w:val="continuous"/>
        </w:sectPr>
      </w:pPr>
    </w:p>
    <w:p>
      <w:pPr>
        <w:spacing w:after="0" w:line="347"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r>
      <w:tr>
        <w:trPr>
          <w:trHeight w:val="236"/>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210,903,847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214,983,486</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212,332,878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214,951,279</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77,847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159,088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76,448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165,713</w:t>
            </w:r>
          </w:p>
        </w:tc>
      </w:tr>
      <w:tr>
        <w:trPr>
          <w:trHeight w:val="445"/>
        </w:trPr>
        <w:tc>
          <w:tcPr>
            <w:tcW w:w="1500" w:type="dxa"/>
            <w:vAlign w:val="bottom"/>
          </w:tcPr>
          <w:p>
            <w:pPr>
              <w:jc w:val="right"/>
              <w:spacing w:after="0"/>
              <w:rPr>
                <w:sz w:val="20"/>
                <w:szCs w:val="20"/>
                <w:color w:val="auto"/>
              </w:rPr>
            </w:pPr>
            <w:r>
              <w:rPr>
                <w:rFonts w:ascii="Arial" w:cs="Arial" w:eastAsia="Arial" w:hAnsi="Arial"/>
                <w:sz w:val="16"/>
                <w:szCs w:val="16"/>
                <w:color w:val="auto"/>
              </w:rPr>
              <w:t>23,056,868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23,062,320</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23,056,868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23,065,139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82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234,038,562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238,204,894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235,466,194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238,182,131</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238,844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206,529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722,127</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618,369</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440" w:right="220" w:hanging="414"/>
        <w:spacing w:after="0" w:line="192" w:lineRule="auto"/>
        <w:tabs>
          <w:tab w:leader="none" w:pos="440" w:val="left"/>
        </w:tabs>
        <w:numPr>
          <w:ilvl w:val="0"/>
          <w:numId w:val="13"/>
        </w:numPr>
        <w:rPr>
          <w:rFonts w:ascii="Arial" w:cs="Arial" w:eastAsia="Arial" w:hAnsi="Arial"/>
          <w:sz w:val="24"/>
          <w:szCs w:val="24"/>
          <w:color w:val="auto"/>
          <w:vertAlign w:val="superscript"/>
        </w:rPr>
      </w:pPr>
      <w:r>
        <w:rPr>
          <w:rFonts w:ascii="Arial" w:cs="Arial" w:eastAsia="Arial" w:hAnsi="Arial"/>
          <w:sz w:val="12"/>
          <w:szCs w:val="12"/>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57" w:lineRule="exact"/>
        <w:rPr>
          <w:rFonts w:ascii="Arial" w:cs="Arial" w:eastAsia="Arial" w:hAnsi="Arial"/>
          <w:sz w:val="24"/>
          <w:szCs w:val="24"/>
          <w:color w:val="auto"/>
          <w:vertAlign w:val="superscript"/>
        </w:rPr>
      </w:pPr>
    </w:p>
    <w:p>
      <w:pPr>
        <w:ind w:left="440" w:right="260" w:hanging="414"/>
        <w:spacing w:after="0" w:line="186" w:lineRule="auto"/>
        <w:tabs>
          <w:tab w:leader="none" w:pos="440" w:val="left"/>
        </w:tabs>
        <w:numPr>
          <w:ilvl w:val="0"/>
          <w:numId w:val="13"/>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1240"/>
          </w:cols>
          <w:pgMar w:left="320" w:top="82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7"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44"/>
        </w:trPr>
        <w:tc>
          <w:tcPr>
            <w:tcW w:w="4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277"/>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5"/>
          </w:tcPr>
          <w:p>
            <w:pPr>
              <w:ind w:left="160"/>
              <w:spacing w:after="0"/>
              <w:rPr>
                <w:sz w:val="20"/>
                <w:szCs w:val="20"/>
                <w:color w:val="auto"/>
              </w:rPr>
            </w:pPr>
            <w:r>
              <w:rPr>
                <w:rFonts w:ascii="Arial" w:cs="Arial" w:eastAsia="Arial" w:hAnsi="Arial"/>
                <w:sz w:val="16"/>
                <w:szCs w:val="16"/>
                <w:b w:val="1"/>
                <w:bCs w:val="1"/>
                <w:color w:val="auto"/>
              </w:rPr>
              <w:t>(dollars in thousands)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331,115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298,227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975,310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916,921</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(4,170)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(6,734)</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(119,706)</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(136,421)</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1,422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1,372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14,231</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(17,579)</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288,108</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253,052</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863,392</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754,385</w:t>
            </w:r>
          </w:p>
        </w:tc>
      </w:tr>
      <w:tr>
        <w:trPr>
          <w:trHeight w:val="21"/>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271"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5" w:lineRule="exact"/>
        <w:rPr>
          <w:rFonts w:ascii="Arial" w:cs="Arial" w:eastAsia="Arial" w:hAnsi="Arial"/>
          <w:sz w:val="12"/>
          <w:szCs w:val="12"/>
          <w:color w:val="auto"/>
        </w:rPr>
      </w:pPr>
    </w:p>
    <w:p>
      <w:pPr>
        <w:ind w:left="440" w:right="360" w:hanging="414"/>
        <w:spacing w:after="0" w:line="271"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40" w:hanging="414"/>
        <w:spacing w:after="0" w:line="262"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certain non-cash stock-based compensation expense and related payroll taxes, the composition of which may vary each period based on applicable activity. During the three and nine months ended September 30, 2026 and 2025, this adjustment includes $0.4 million, $0.6 million, $1.7 million and $1.8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p>
      <w:pPr>
        <w:spacing w:after="0" w:line="31" w:lineRule="exact"/>
        <w:rPr>
          <w:rFonts w:ascii="Arial" w:cs="Arial" w:eastAsia="Arial" w:hAnsi="Arial"/>
          <w:sz w:val="12"/>
          <w:szCs w:val="12"/>
          <w:color w:val="auto"/>
        </w:rPr>
      </w:pPr>
    </w:p>
    <w:p>
      <w:pPr>
        <w:ind w:left="440" w:right="140" w:hanging="414"/>
        <w:spacing w:after="0" w:line="271"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Trailing Twelve Months Ended September 30,</w:t>
            </w:r>
          </w:p>
        </w:tc>
      </w:tr>
      <w:tr>
        <w:trPr>
          <w:trHeight w:val="23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r>
      <w:tr>
        <w:trPr>
          <w:trHeight w:val="277"/>
        </w:trPr>
        <w:tc>
          <w:tcPr>
            <w:tcW w:w="7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4"/>
          </w:tcPr>
          <w:p>
            <w:pPr>
              <w:ind w:left="920"/>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3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D5DCE4"/>
          </w:tcPr>
          <w:p>
            <w:pPr>
              <w:ind w:left="940"/>
              <w:spacing w:after="0"/>
              <w:rPr>
                <w:sz w:val="20"/>
                <w:szCs w:val="20"/>
                <w:color w:val="auto"/>
              </w:rPr>
            </w:pPr>
            <w:r>
              <w:rPr>
                <w:rFonts w:ascii="Arial" w:cs="Arial" w:eastAsia="Arial" w:hAnsi="Arial"/>
                <w:sz w:val="16"/>
                <w:szCs w:val="16"/>
                <w:color w:val="auto"/>
              </w:rPr>
              <w:t>1,201,204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1,093,722</w:t>
            </w:r>
          </w:p>
        </w:tc>
      </w:tr>
      <w:tr>
        <w:trPr>
          <w:trHeight w:val="23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(71,675)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(59,871)</w:t>
            </w:r>
          </w:p>
        </w:tc>
      </w:tr>
      <w:tr>
        <w:trPr>
          <w:trHeight w:val="244"/>
        </w:trPr>
        <w:tc>
          <w:tcPr>
            <w:tcW w:w="73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60" w:type="dxa"/>
            <w:vAlign w:val="bottom"/>
            <w:tcBorders>
              <w:bottom w:val="single" w:sz="8" w:color="auto"/>
            </w:tcBorders>
            <w:shd w:val="clear" w:color="auto" w:fill="D5DCE4"/>
          </w:tcPr>
          <w:p>
            <w:pPr>
              <w:spacing w:after="0"/>
              <w:rPr>
                <w:sz w:val="21"/>
                <w:szCs w:val="21"/>
                <w:color w:val="auto"/>
              </w:rPr>
            </w:pPr>
          </w:p>
        </w:tc>
        <w:tc>
          <w:tcPr>
            <w:tcW w:w="17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(46,646)</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(46,372)</w:t>
            </w:r>
          </w:p>
        </w:tc>
      </w:tr>
      <w:tr>
        <w:trPr>
          <w:trHeight w:val="24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1,082,883</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987,479</w:t>
            </w:r>
          </w:p>
        </w:tc>
      </w:tr>
      <w:tr>
        <w:trPr>
          <w:trHeight w:val="20"/>
        </w:trPr>
        <w:tc>
          <w:tcPr>
            <w:tcW w:w="7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82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gridSpan w:val="11"/>
          </w:tcPr>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80" w:type="dxa"/>
            <w:vAlign w:val="bottom"/>
            <w:gridSpan w:val="9"/>
          </w:tcPr>
          <w:p>
            <w:pPr>
              <w:jc w:val="right"/>
              <w:ind w:right="21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197,457</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185,636</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584,059</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487,800</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participating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197,384</w:t>
            </w:r>
          </w:p>
        </w:tc>
        <w:tc>
          <w:tcPr>
            <w:tcW w:w="80" w:type="dxa"/>
            <w:vAlign w:val="bottom"/>
          </w:tcPr>
          <w:p>
            <w:pPr>
              <w:spacing w:after="0"/>
              <w:rPr>
                <w:sz w:val="15"/>
                <w:szCs w:val="15"/>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185,498</w:t>
            </w:r>
          </w:p>
        </w:tc>
        <w:tc>
          <w:tcPr>
            <w:tcW w:w="80" w:type="dxa"/>
            <w:vAlign w:val="bottom"/>
          </w:tcPr>
          <w:p>
            <w:pPr>
              <w:spacing w:after="0"/>
              <w:rPr>
                <w:sz w:val="15"/>
                <w:szCs w:val="15"/>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583,848</w:t>
            </w:r>
          </w:p>
        </w:tc>
        <w:tc>
          <w:tcPr>
            <w:tcW w:w="80" w:type="dxa"/>
            <w:vAlign w:val="bottom"/>
          </w:tcPr>
          <w:p>
            <w:pPr>
              <w:spacing w:after="0"/>
              <w:rPr>
                <w:sz w:val="15"/>
                <w:szCs w:val="15"/>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487,421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210,409,905</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213,359,090</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211,844,545</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213,263,111</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124,246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467,912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41,415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451,111</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148,809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288,067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172,969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290,111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185,598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353,785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246,895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412,545</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35,289</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514,632</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27,054</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534,401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210,903,847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w w:val="98"/>
              </w:rPr>
              <w:t>214,983,486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212,332,878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w w:val="98"/>
              </w:rPr>
              <w:t>214,951,279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0.86</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2.75</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40" w:right="80" w:hanging="414"/>
        <w:spacing w:after="0" w:line="276"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During the three months ended September 30, 2026 and 2025, there was a total of 77,847 and 159,088, respectively, and during the nine months ended September 30, 2026 and 2025, there was a total of 76,448 and 165,713, respectively, weighted average unvested or unsettled vested stock awards that were considered a participating security for purposes of calculating earnings per share in accordance with the two-class method.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2026</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2025</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9"/>
                <w:szCs w:val="19"/>
                <w:color w:val="auto"/>
              </w:rPr>
            </w:pPr>
          </w:p>
        </w:tc>
        <w:tc>
          <w:tcPr>
            <w:tcW w:w="22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77"/>
        </w:trPr>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249,080</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75,379</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203,409</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71,088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45,671</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4,291</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22.5 %</w:t>
            </w: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17,157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103,880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36,011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2,409</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27,359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2,470</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8,652</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31.6 %</w:t>
            </w: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4,784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36,806</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30,721</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6,085</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19.8 %</w:t>
            </w:r>
          </w:p>
        </w:tc>
      </w:tr>
      <w:tr>
        <w:trPr>
          <w:trHeight w:val="236"/>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6,043</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6,629</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300" w:type="dxa"/>
            <w:vAlign w:val="bottom"/>
            <w:tcBorders>
              <w:bottom w:val="single" w:sz="8" w:color="D5DCE4"/>
            </w:tcBorders>
            <w:gridSpan w:val="2"/>
          </w:tcPr>
          <w:p>
            <w:pPr>
              <w:jc w:val="right"/>
              <w:spacing w:after="0"/>
              <w:rPr>
                <w:sz w:val="20"/>
                <w:szCs w:val="20"/>
                <w:color w:val="auto"/>
              </w:rPr>
            </w:pPr>
            <w:r>
              <w:rPr>
                <w:rFonts w:ascii="Arial" w:cs="Arial" w:eastAsia="Arial" w:hAnsi="Arial"/>
                <w:sz w:val="16"/>
                <w:szCs w:val="16"/>
                <w:color w:val="auto"/>
              </w:rPr>
              <w:t>(39.0)%</w:t>
            </w:r>
          </w:p>
        </w:tc>
        <w:tc>
          <w:tcPr>
            <w:tcW w:w="80" w:type="dxa"/>
            <w:vAlign w:val="bottom"/>
            <w:tcBorders>
              <w:bottom w:val="single" w:sz="8" w:color="D5DCE4"/>
            </w:tcBorders>
          </w:tcPr>
          <w:p>
            <w:pPr>
              <w:spacing w:after="0"/>
              <w:rPr>
                <w:sz w:val="20"/>
                <w:szCs w:val="20"/>
                <w:color w:val="auto"/>
              </w:rPr>
            </w:pPr>
          </w:p>
        </w:tc>
        <w:tc>
          <w:tcPr>
            <w:tcW w:w="10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(8.8)%</w:t>
            </w: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441,967</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142,578</w:t>
            </w:r>
          </w:p>
        </w:tc>
        <w:tc>
          <w:tcPr>
            <w:tcW w:w="14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375,771</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132,827</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66,196</w:t>
            </w:r>
          </w:p>
        </w:tc>
        <w:tc>
          <w:tcPr>
            <w:tcW w:w="80" w:type="dxa"/>
            <w:vAlign w:val="bottom"/>
            <w:shd w:val="clear" w:color="auto" w:fill="D5DCE4"/>
          </w:tcPr>
          <w:p>
            <w:pPr>
              <w:spacing w:after="0"/>
              <w:rPr>
                <w:sz w:val="22"/>
                <w:szCs w:val="22"/>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9,751</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17.6 %</w:t>
            </w:r>
          </w:p>
        </w:tc>
        <w:tc>
          <w:tcPr>
            <w:tcW w:w="80" w:type="dxa"/>
            <w:vAlign w:val="bottom"/>
            <w:shd w:val="clear" w:color="auto" w:fill="D5DCE4"/>
          </w:tcPr>
          <w:p>
            <w:pPr>
              <w:spacing w:after="0"/>
              <w:rPr>
                <w:sz w:val="22"/>
                <w:szCs w:val="22"/>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192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1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620" w:type="dxa"/>
            <w:vAlign w:val="bottom"/>
          </w:tcPr>
          <w:p>
            <w:pPr>
              <w:spacing w:after="0"/>
              <w:rPr>
                <w:sz w:val="19"/>
                <w:szCs w:val="19"/>
                <w:color w:val="auto"/>
              </w:rPr>
            </w:pPr>
          </w:p>
        </w:tc>
      </w:tr>
      <w:tr>
        <w:trPr>
          <w:trHeight w:val="244"/>
        </w:trPr>
        <w:tc>
          <w:tcPr>
            <w:tcW w:w="6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646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shd w:val="clear" w:color="auto" w:fill="D5DCE4"/>
          </w:tcPr>
          <w:p>
            <w:pPr>
              <w:spacing w:after="0"/>
              <w:rPr>
                <w:sz w:val="20"/>
                <w:szCs w:val="20"/>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2.17</w:t>
            </w:r>
          </w:p>
        </w:tc>
        <w:tc>
          <w:tcPr>
            <w:tcW w:w="80" w:type="dxa"/>
            <w:vAlign w:val="bottom"/>
            <w:shd w:val="clear" w:color="auto" w:fill="D5DCE4"/>
          </w:tcPr>
          <w:p>
            <w:pPr>
              <w:spacing w:after="0"/>
              <w:rPr>
                <w:sz w:val="20"/>
                <w:szCs w:val="20"/>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(8.4)%</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(11.9)%</w:t>
            </w: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Rates Derivatives (≥ 1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51"/>
        </w:trPr>
        <w:tc>
          <w:tcPr>
            <w:tcW w:w="64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29.40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38.19</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(23.0)%</w:t>
            </w:r>
          </w:p>
        </w:tc>
      </w:tr>
      <w:tr>
        <w:trPr>
          <w:trHeight w:val="243"/>
        </w:trPr>
        <w:tc>
          <w:tcPr>
            <w:tcW w:w="64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114.85</w:t>
            </w:r>
          </w:p>
        </w:tc>
        <w:tc>
          <w:tcPr>
            <w:tcW w:w="80" w:type="dxa"/>
            <w:vAlign w:val="bottom"/>
          </w:tcPr>
          <w:p>
            <w:pPr>
              <w:spacing w:after="0"/>
              <w:rPr>
                <w:sz w:val="21"/>
                <w:szCs w:val="21"/>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128.48</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18.77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16.31</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15.1 %</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29.34</w:t>
            </w:r>
          </w:p>
        </w:tc>
        <w:tc>
          <w:tcPr>
            <w:tcW w:w="8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27.98</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0.51</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(3.2)%</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(3.0)%</w:t>
            </w:r>
          </w:p>
        </w:tc>
      </w:tr>
      <w:tr>
        <w:trPr>
          <w:trHeight w:val="302"/>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8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1.1 %</w:t>
            </w:r>
          </w:p>
        </w:tc>
      </w:tr>
    </w:tbl>
    <w:p>
      <w:pPr>
        <w:spacing w:after="0" w:line="62" w:lineRule="exact"/>
        <w:rPr>
          <w:sz w:val="20"/>
          <w:szCs w:val="20"/>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blended fees per million across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2026 Q3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2025 Q3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8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603,274</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38,724,328</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534,513</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34,306,862</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12.86 %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283,046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18,114,919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221,103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14,150,594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28.02 %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65,760</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4,340,148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52,816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3,485,878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24.51 %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240,400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15,385,578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249,254</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15,952,288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14,069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883,683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11,339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718,102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1,344,856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86,739,164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921,043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59,502,286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678,891</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43,744,073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476,891</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30,811,252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42.36 %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653,941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42,221,157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435,966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28,164,223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12,024</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773,934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8,186</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526,811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46.88 %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1,948,129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125,463,492</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1,455,555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93,809,148</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19,211</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1,237,276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16,161</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1,043,193</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18.88 %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8,799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563,122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6,870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439,657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28.08 %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3,604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230,677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2,922</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186,986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59,175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16,232</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290</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18,547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179,318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165,431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567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36,319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517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33,095</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117,821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116,044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475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30,924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373</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27.39 %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41,706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2,703,200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25,863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1,676,981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61.26 %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41,706</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2,703,200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25,863</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1,676,981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61.26 %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60,918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3,940,476</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42,024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2,720,174</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14,910</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961,460</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11,836</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763,746</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25.97 %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11,311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723,910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8,725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558,399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International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3,599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237,550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3,111</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205,346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14,906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956,579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14,225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913,262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4.79 %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9,777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627,910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10,746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690,277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328,668</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222,984</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29,816</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1,918,039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26,061</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1,677,007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14.41 %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2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1,114,211</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78,994,808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1,051,615</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74,615,933</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838,812</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54,120,600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779,853</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50,260,266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275,399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24,874,209</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271,763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24,355,667</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1,114,211</w:t>
            </w:r>
          </w:p>
        </w:tc>
        <w:tc>
          <w:tcPr>
            <w:tcW w:w="40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78,994,808</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1,051,615</w:t>
            </w:r>
          </w:p>
        </w:tc>
        <w:tc>
          <w:tcPr>
            <w:tcW w:w="40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74,615,933</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5.95 %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288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88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ind w:left="6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60" w:type="dxa"/>
            <w:vAlign w:val="bottom"/>
            <w:tcBorders>
              <w:bottom w:val="single" w:sz="8" w:color="auto"/>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3,153,074</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210,316,816</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2,575,256</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172,822,263</w:t>
            </w: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22.44 %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083566"/>
        </w:rPr>
        <w:t>BASIS OF PRESENTATION</w:t>
      </w:r>
    </w:p>
    <w:p>
      <w:pPr>
        <w:spacing w:after="0" w:line="22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74"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2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interim financial results presented herein for the three and nine months ended September 30, 2026 and 2025 are unaudited. Operating results for interim periods are not necessarily indicative of the results that may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2026 guidance and full-year 2026 revenue guidance related to the LSEG market data license agreement, expansion and growth opportunities and other synergies resulting from acquisitions of companies (including with respect to Tradeweb's proposed acquisition of Trumid and the acquisition's effect on our business), investments, partnerships and collaborations, future performance, the industry and markets in which we operate, our expectations, beliefs, plans, strategies, objectives, prospects and assumptions and future events are forward-looking statements.</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3"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p>
      <w:pPr>
        <w:sectPr>
          <w:pgSz w:w="11900" w:h="16838" w:orient="portrait"/>
          <w:cols w:equalWidth="0" w:num="1">
            <w:col w:w="11240"/>
          </w:cols>
          <w:pgMar w:left="320" w:top="989" w:right="339" w:bottom="1440" w:gutter="0" w:footer="0" w:header="0"/>
        </w:sectPr>
      </w:pPr>
    </w:p>
    <w:bookmarkStart w:id="15" w:name="page16"/>
    <w:bookmarkEnd w:id="15"/>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4"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13</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3"/>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2026-10-29T06:06:06Z</dcterms:created>
  <dcterms:modified xsi:type="dcterms:W3CDTF">2026-10-29T06:06:06Z</dcterms:modified>
</cp:coreProperties>
</file>