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335.xml.htm"/>
      <w:bookmarkStart w:id="1" w:name="kswkform4_17870843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Dixon Troy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MD, Co-Head of Global Markets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105.74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34,447</w:t>
            </w:r>
            <w:r>
              <w:rPr>
                <w:rFonts w:ascii="Times;serif" w:hAnsi="Times;serif"/>
                <w:color w:val="008000"/>
                <w:position w:val="7"/>
                <w:sz w:val="16"/>
                <w:sz w:val="20"/>
                <w:shd w:fill="FFFFFF" w:val="clear"/>
              </w:rPr>
              <w:t>(2)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106.06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31,863</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21,013 unvested restricted stock units ("RSUs") in respect of the issuer's Class A Common Stock ("Class A Common Stock") that are scheduled to vest in equal installments on March 15, 2027 and March 15, 2028, and (ii) 10,850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Troy Dixon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5539"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3693</Characters>
  <CharactersWithSpaces>4306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