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8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4200" w:right="1720" w:hanging="4174"/>
        <w:spacing w:after="0" w:line="390" w:lineRule="auto"/>
        <w:tabs>
          <w:tab w:leader="none" w:pos="36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001-38860</w:t>
      </w:r>
    </w:p>
    <w:p>
      <w:pPr>
        <w:jc w:val="center"/>
        <w:spacing w:after="0"/>
        <w:rPr>
          <w:sz w:val="20"/>
          <w:szCs w:val="20"/>
          <w:color w:val="auto"/>
        </w:rPr>
      </w:pPr>
      <w:r>
        <w:rPr>
          <w:rFonts w:ascii="Times New Roman" w:cs="Times New Roman" w:eastAsia="Times New Roman" w:hAnsi="Times New Roman"/>
          <w:sz w:val="29"/>
          <w:szCs w:val="29"/>
          <w:b w:val="1"/>
          <w:bCs w:val="1"/>
          <w:color w:val="auto"/>
        </w:rPr>
        <w:t>TRADEWEB MARKETS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w:t>
      </w:r>
    </w:p>
    <w:p>
      <w:pPr>
        <w:spacing w:after="0" w:line="122" w:lineRule="exact"/>
        <w:rPr>
          <w:sz w:val="24"/>
          <w:szCs w:val="24"/>
          <w:color w:val="auto"/>
        </w:rPr>
      </w:pPr>
    </w:p>
    <w:tbl>
      <w:tblPr>
        <w:tblLayout w:type="fixed"/>
        <w:tblInd w:w="560" w:type="dxa"/>
        <w:tblCellMar>
          <w:top w:w="0" w:type="dxa"/>
          <w:left w:w="0" w:type="dxa"/>
          <w:bottom w:w="0" w:type="dxa"/>
          <w:right w:w="0" w:type="dxa"/>
        </w:tblCellMar>
      </w:tblPr>
      <w:tr>
        <w:trPr>
          <w:trHeight w:val="23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8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83-2456358</w:t>
            </w:r>
          </w:p>
        </w:tc>
      </w:tr>
      <w:tr>
        <w:trPr>
          <w:trHeight w:val="270"/>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88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69"/>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245 Park Avenue</w:t>
            </w:r>
          </w:p>
        </w:tc>
        <w:tc>
          <w:tcPr>
            <w:tcW w:w="4880" w:type="dxa"/>
            <w:vAlign w:val="bottom"/>
          </w:tcPr>
          <w:p>
            <w:pPr>
              <w:spacing w:after="0"/>
              <w:rPr>
                <w:sz w:val="24"/>
                <w:szCs w:val="24"/>
                <w:color w:val="auto"/>
              </w:rPr>
            </w:pPr>
          </w:p>
        </w:tc>
      </w:tr>
      <w:tr>
        <w:trPr>
          <w:trHeight w:val="265"/>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48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10167</w:t>
            </w:r>
          </w:p>
        </w:tc>
      </w:tr>
      <w:tr>
        <w:trPr>
          <w:trHeight w:val="243"/>
        </w:trPr>
        <w:tc>
          <w:tcPr>
            <w:tcW w:w="44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88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rPr>
              <w:t>(Zip Code)</w:t>
            </w:r>
          </w:p>
        </w:tc>
      </w:tr>
      <w:tr>
        <w:trPr>
          <w:trHeight w:val="338"/>
        </w:trPr>
        <w:tc>
          <w:tcPr>
            <w:tcW w:w="4400" w:type="dxa"/>
            <w:vAlign w:val="bottom"/>
          </w:tcPr>
          <w:p>
            <w:pPr>
              <w:spacing w:after="0"/>
              <w:rPr>
                <w:sz w:val="24"/>
                <w:szCs w:val="24"/>
                <w:color w:val="auto"/>
              </w:rPr>
            </w:pPr>
          </w:p>
        </w:tc>
        <w:tc>
          <w:tcPr>
            <w:tcW w:w="4880" w:type="dxa"/>
            <w:vAlign w:val="bottom"/>
          </w:tcPr>
          <w:p>
            <w:pPr>
              <w:jc w:val="right"/>
              <w:ind w:right="3570"/>
              <w:spacing w:after="0"/>
              <w:rPr>
                <w:sz w:val="20"/>
                <w:szCs w:val="20"/>
                <w:color w:val="auto"/>
              </w:rPr>
            </w:pPr>
            <w:r>
              <w:rPr>
                <w:rFonts w:ascii="Times New Roman" w:cs="Times New Roman" w:eastAsia="Times New Roman" w:hAnsi="Times New Roman"/>
                <w:sz w:val="18"/>
                <w:szCs w:val="18"/>
                <w:b w:val="1"/>
                <w:bCs w:val="1"/>
                <w:color w:val="auto"/>
              </w:rPr>
              <w:t>(646) 430-6000</w:t>
            </w:r>
          </w:p>
        </w:tc>
      </w:tr>
    </w:tbl>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tcPr>
          <w:p>
            <w:pPr>
              <w:spacing w:after="0"/>
              <w:rPr>
                <w:sz w:val="16"/>
                <w:szCs w:val="16"/>
                <w:color w:val="auto"/>
              </w:rPr>
            </w:pPr>
          </w:p>
        </w:tc>
      </w:tr>
      <w:tr>
        <w:trPr>
          <w:trHeight w:val="324"/>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35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r>
        <w:trPr>
          <w:trHeight w:val="186"/>
        </w:trPr>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Class A common stock, par value $0.00001</w:t>
            </w:r>
          </w:p>
        </w:tc>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TW</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90" w:lineRule="exact"/>
        <w:rPr>
          <w:sz w:val="24"/>
          <w:szCs w:val="24"/>
          <w:color w:val="auto"/>
        </w:rPr>
      </w:pPr>
    </w:p>
    <w:p>
      <w:pPr>
        <w:ind w:right="2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58" w:lineRule="exact"/>
        <w:rPr>
          <w:sz w:val="24"/>
          <w:szCs w:val="24"/>
          <w:color w:val="auto"/>
        </w:rPr>
      </w:pPr>
    </w:p>
    <w:p>
      <w:pPr>
        <w:ind w:right="100"/>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58" w:lineRule="exact"/>
        <w:rPr>
          <w:sz w:val="24"/>
          <w:szCs w:val="24"/>
          <w:color w:val="auto"/>
        </w:rPr>
      </w:pPr>
    </w:p>
    <w:p>
      <w:pPr>
        <w:ind w:right="4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94" w:lineRule="exact"/>
        <w:rPr>
          <w:sz w:val="24"/>
          <w:szCs w:val="24"/>
          <w:color w:val="auto"/>
        </w:rPr>
      </w:pPr>
    </w:p>
    <w:p>
      <w:pPr>
        <w:ind w:left="20" w:right="760"/>
        <w:spacing w:after="0" w:line="382" w:lineRule="auto"/>
        <w:rPr>
          <w:sz w:val="20"/>
          <w:szCs w:val="20"/>
          <w:color w:val="auto"/>
        </w:rPr>
      </w:pPr>
      <w:r>
        <w:rPr>
          <w:rFonts w:ascii="Times New Roman" w:cs="Times New Roman" w:eastAsia="Times New Roman" w:hAnsi="Times New Roman"/>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18" w:lineRule="exact"/>
        <w:rPr>
          <w:sz w:val="24"/>
          <w:szCs w:val="24"/>
          <w:color w:val="auto"/>
        </w:rPr>
      </w:pPr>
    </w:p>
    <w:p>
      <w:pPr>
        <w:sectPr>
          <w:pgSz w:w="11900" w:h="16838" w:orient="portrait"/>
          <w:cols w:equalWidth="0" w:num="6">
            <w:col w:w="2360" w:space="720"/>
            <w:col w:w="140" w:space="660"/>
            <w:col w:w="2360" w:space="720"/>
            <w:col w:w="120" w:space="660"/>
            <w:col w:w="2360" w:space="720"/>
            <w:col w:w="420"/>
          </w:cols>
          <w:pgMar w:left="320" w:top="229" w:right="339" w:bottom="1440" w:gutter="0" w:footer="0" w:header="0"/>
          <w:type w:val="continuous"/>
        </w:sectPr>
      </w:pPr>
    </w:p>
    <w:p>
      <w:pPr>
        <w:ind w:right="560"/>
        <w:spacing w:after="0" w:line="214"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2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5740" w:type="dxa"/>
            <w:vAlign w:val="bottom"/>
            <w:gridSpan w:val="2"/>
          </w:tcPr>
          <w:p>
            <w:pPr>
              <w:ind w:left="2320"/>
              <w:spacing w:after="0"/>
              <w:rPr>
                <w:sz w:val="20"/>
                <w:szCs w:val="20"/>
                <w:color w:val="auto"/>
              </w:rPr>
            </w:pPr>
            <w:r>
              <w:rPr>
                <w:rFonts w:ascii="Times New Roman" w:cs="Times New Roman" w:eastAsia="Times New Roman" w:hAnsi="Times New Roman"/>
                <w:sz w:val="14"/>
                <w:szCs w:val="14"/>
                <w:color w:val="auto"/>
              </w:rPr>
              <w:t>Class of Stock</w:t>
            </w:r>
          </w:p>
        </w:tc>
        <w:tc>
          <w:tcPr>
            <w:tcW w:w="5500" w:type="dxa"/>
            <w:vAlign w:val="bottom"/>
          </w:tcPr>
          <w:p>
            <w:pPr>
              <w:jc w:val="right"/>
              <w:ind w:right="1448"/>
              <w:spacing w:after="0"/>
              <w:rPr>
                <w:sz w:val="20"/>
                <w:szCs w:val="20"/>
                <w:color w:val="auto"/>
              </w:rPr>
            </w:pPr>
            <w:r>
              <w:rPr>
                <w:rFonts w:ascii="Times New Roman" w:cs="Times New Roman" w:eastAsia="Times New Roman" w:hAnsi="Times New Roman"/>
                <w:sz w:val="14"/>
                <w:szCs w:val="14"/>
                <w:color w:val="auto"/>
              </w:rPr>
              <w:t>Shares Outstanding as of October 22, 2026</w:t>
            </w:r>
          </w:p>
        </w:tc>
      </w:tr>
      <w:tr>
        <w:trPr>
          <w:trHeight w:val="23"/>
        </w:trPr>
        <w:tc>
          <w:tcPr>
            <w:tcW w:w="5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186"/>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112,144,146</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B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96,933,192</w:t>
            </w:r>
          </w:p>
        </w:tc>
      </w:tr>
      <w:tr>
        <w:trPr>
          <w:trHeight w:val="23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C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18,000,000</w:t>
            </w: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D Common Stock, par value $0.00001 per share</w:t>
            </w: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5,056,868</w:t>
            </w:r>
          </w:p>
        </w:tc>
      </w:tr>
      <w:tr>
        <w:trPr>
          <w:trHeight w:val="186"/>
        </w:trPr>
        <w:tc>
          <w:tcPr>
            <w:tcW w:w="5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500" w:type="dxa"/>
            <w:vAlign w:val="bottom"/>
            <w:tcBorders>
              <w:bottom w:val="single" w:sz="8" w:color="auto"/>
            </w:tcBorders>
          </w:tcPr>
          <w:p>
            <w:pPr>
              <w:spacing w:after="0"/>
              <w:rPr>
                <w:sz w:val="16"/>
                <w:szCs w:val="16"/>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1000"/>
        </w:trPr>
        <w:tc>
          <w:tcPr>
            <w:tcW w:w="5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 FOR THE QUARTERLY PERIOD ENDED SEPTEMBER 30, 2026</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9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3051F2"/>
                <w:w w:val="98"/>
              </w:rPr>
              <w:t>INTRODUCTORY NOTE</w:t>
            </w:r>
          </w:p>
        </w:tc>
        <w:tc>
          <w:tcPr>
            <w:tcW w:w="8720" w:type="dxa"/>
            <w:vAlign w:val="bottom"/>
            <w:gridSpan w:val="19"/>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1940" w:type="dxa"/>
            <w:vAlign w:val="bottom"/>
            <w:tcBorders>
              <w:bottom w:val="single" w:sz="8" w:color="3051F2"/>
            </w:tcBorders>
            <w:gridSpan w:val="9"/>
            <w:vMerge w:val="continue"/>
          </w:tcPr>
          <w:p>
            <w:pPr>
              <w:spacing w:after="0"/>
              <w:rPr>
                <w:sz w:val="15"/>
                <w:szCs w:val="15"/>
                <w:color w:val="auto"/>
              </w:rPr>
            </w:pPr>
          </w:p>
        </w:tc>
        <w:tc>
          <w:tcPr>
            <w:tcW w:w="8720" w:type="dxa"/>
            <w:vAlign w:val="bottom"/>
            <w:gridSpan w:val="19"/>
            <w:vMerge w:val="continue"/>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066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USE OF NON-GAAP FINANCIAL MEASURES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660" w:type="dxa"/>
            <w:vAlign w:val="bottom"/>
            <w:gridSpan w:val="28"/>
          </w:tcPr>
          <w:p>
            <w:pPr>
              <w:spacing w:after="0"/>
              <w:rPr>
                <w:sz w:val="20"/>
                <w:szCs w:val="20"/>
                <w:color w:val="auto"/>
              </w:rPr>
            </w:pPr>
            <w:r>
              <w:rPr>
                <w:rFonts w:ascii="Times New Roman" w:cs="Times New Roman" w:eastAsia="Times New Roman" w:hAnsi="Times New Roman"/>
                <w:sz w:val="18"/>
                <w:szCs w:val="18"/>
                <w:color w:val="3051F2"/>
              </w:rPr>
              <w:t>CAUTIONARY NOTE REGARDING FORWARD-LOOKING STATEMENTS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780" w:type="dxa"/>
            <w:vAlign w:val="bottom"/>
            <w:tcBorders>
              <w:top w:val="single" w:sz="8" w:color="3051F2"/>
            </w:tcBorders>
            <w:gridSpan w:val="21"/>
          </w:tcPr>
          <w:p>
            <w:pPr>
              <w:spacing w:after="0"/>
              <w:rPr>
                <w:sz w:val="20"/>
                <w:szCs w:val="20"/>
                <w:color w:val="auto"/>
              </w:rPr>
            </w:pPr>
            <w:r>
              <w:rPr>
                <w:rFonts w:ascii="Times New Roman" w:cs="Times New Roman" w:eastAsia="Times New Roman" w:hAnsi="Times New Roman"/>
                <w:sz w:val="18"/>
                <w:szCs w:val="18"/>
                <w:color w:val="3051F2"/>
              </w:rPr>
              <w:t>PART I — FINANCIAL INFORMATION</w:t>
            </w:r>
          </w:p>
        </w:tc>
        <w:tc>
          <w:tcPr>
            <w:tcW w:w="488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1.</w:t>
            </w:r>
          </w:p>
        </w:tc>
        <w:tc>
          <w:tcPr>
            <w:tcW w:w="240" w:type="dxa"/>
            <w:vAlign w:val="bottom"/>
            <w:tcBorders>
              <w:top w:val="single" w:sz="8" w:color="3051F2"/>
            </w:tcBorders>
            <w:gridSpan w:val="2"/>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2180" w:type="dxa"/>
            <w:vAlign w:val="bottom"/>
            <w:tcBorders>
              <w:top w:val="single" w:sz="8" w:color="3051F2"/>
            </w:tcBorders>
            <w:gridSpan w:val="11"/>
          </w:tcPr>
          <w:p>
            <w:pPr>
              <w:spacing w:after="0"/>
              <w:rPr>
                <w:sz w:val="20"/>
                <w:szCs w:val="20"/>
                <w:color w:val="auto"/>
              </w:rPr>
            </w:pPr>
            <w:r>
              <w:rPr>
                <w:rFonts w:ascii="Times New Roman" w:cs="Times New Roman" w:eastAsia="Times New Roman" w:hAnsi="Times New Roman"/>
                <w:sz w:val="18"/>
                <w:szCs w:val="18"/>
                <w:color w:val="3051F2"/>
              </w:rPr>
              <w:t>Financial Statements</w:t>
            </w:r>
          </w:p>
        </w:tc>
        <w:tc>
          <w:tcPr>
            <w:tcW w:w="7600" w:type="dxa"/>
            <w:vAlign w:val="bottom"/>
            <w:gridSpan w:val="1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3051F2"/>
              </w:rPr>
              <w:t>Condensed Consolidated Statements of Financial Condition as of September 30, 2026 and December 31, 2025</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1900" w:type="dxa"/>
            <w:vAlign w:val="bottom"/>
            <w:gridSpan w:val="2"/>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2100" w:type="dxa"/>
            <w:vAlign w:val="bottom"/>
            <w:gridSpan w:val="2"/>
            <w:shd w:val="clear" w:color="auto" w:fill="3051F2"/>
          </w:tcPr>
          <w:p>
            <w:pPr>
              <w:spacing w:after="0" w:line="20" w:lineRule="exact"/>
              <w:rPr>
                <w:sz w:val="1"/>
                <w:szCs w:val="1"/>
                <w:color w:val="auto"/>
              </w:rPr>
            </w:pPr>
          </w:p>
        </w:tc>
        <w:tc>
          <w:tcPr>
            <w:tcW w:w="1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40" w:type="dxa"/>
            <w:vAlign w:val="bottom"/>
            <w:tcBorders>
              <w:bottom w:val="single" w:sz="8" w:color="3051F2"/>
            </w:tcBorders>
            <w:gridSpan w:val="20"/>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Income for the three and nine months ended September 30, 2026 and 2025</w:t>
            </w:r>
          </w:p>
        </w:tc>
        <w:tc>
          <w:tcPr>
            <w:tcW w:w="132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20" w:type="dxa"/>
            <w:vAlign w:val="bottom"/>
            <w:tcBorders>
              <w:bottom w:val="single" w:sz="8" w:color="3051F2"/>
            </w:tcBorders>
            <w:gridSpan w:val="22"/>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Comprehensive Income for the three and nine months ended September 30, 2026 and 2025</w:t>
            </w: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gridSpan w:val="23"/>
          </w:tcPr>
          <w:p>
            <w:pPr>
              <w:spacing w:after="0"/>
              <w:rPr>
                <w:sz w:val="20"/>
                <w:szCs w:val="20"/>
                <w:color w:val="auto"/>
              </w:rPr>
            </w:pPr>
            <w:r>
              <w:rPr>
                <w:rFonts w:ascii="Times New Roman" w:cs="Times New Roman" w:eastAsia="Times New Roman" w:hAnsi="Times New Roman"/>
                <w:sz w:val="18"/>
                <w:szCs w:val="18"/>
                <w:color w:val="3051F2"/>
              </w:rPr>
              <w:t>Condensed Consolidated Statements of Changes in Equity for the three and nine months ended September 30, 2026 and 2025</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40" w:type="dxa"/>
            <w:vAlign w:val="bottom"/>
            <w:tcBorders>
              <w:top w:val="single" w:sz="8" w:color="3051F2"/>
              <w:bottom w:val="single" w:sz="8" w:color="3051F2"/>
            </w:tcBorders>
            <w:gridSpan w:val="18"/>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Cash Flows for the nine months ended September 30, 2026 and 2025</w:t>
            </w:r>
          </w:p>
        </w:tc>
        <w:tc>
          <w:tcPr>
            <w:tcW w:w="1180" w:type="dxa"/>
            <w:vAlign w:val="bottom"/>
            <w:tcBorders>
              <w:top w:val="single" w:sz="8" w:color="3051F2"/>
            </w:tcBorders>
            <w:gridSpan w:val="3"/>
          </w:tcPr>
          <w:p>
            <w:pPr>
              <w:spacing w:after="0"/>
              <w:rPr>
                <w:sz w:val="24"/>
                <w:szCs w:val="24"/>
                <w:color w:val="auto"/>
              </w:rPr>
            </w:pPr>
          </w:p>
        </w:tc>
        <w:tc>
          <w:tcPr>
            <w:tcW w:w="54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13</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Notes to Condensed Consolidated Financial Statements</w:t>
            </w:r>
          </w:p>
        </w:tc>
        <w:tc>
          <w:tcPr>
            <w:tcW w:w="5560" w:type="dxa"/>
            <w:vAlign w:val="bottom"/>
            <w:gridSpan w:val="10"/>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4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rPr>
              <w:t>Item 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60" w:type="dxa"/>
            <w:vAlign w:val="bottom"/>
            <w:tcBorders>
              <w:bottom w:val="single" w:sz="8" w:color="3051F2"/>
            </w:tcBorders>
            <w:gridSpan w:val="18"/>
          </w:tcPr>
          <w:p>
            <w:pPr>
              <w:spacing w:after="0"/>
              <w:rPr>
                <w:sz w:val="20"/>
                <w:szCs w:val="20"/>
                <w:color w:val="auto"/>
              </w:rPr>
            </w:pPr>
            <w:r>
              <w:rPr>
                <w:rFonts w:ascii="Times New Roman" w:cs="Times New Roman" w:eastAsia="Times New Roman" w:hAnsi="Times New Roman"/>
                <w:sz w:val="18"/>
                <w:szCs w:val="18"/>
                <w:color w:val="3051F2"/>
                <w:w w:val="99"/>
              </w:rPr>
              <w:t>Management’s Discussion and Analysis of Financial Condition and Results of Operations</w:t>
            </w:r>
          </w:p>
        </w:tc>
        <w:tc>
          <w:tcPr>
            <w:tcW w:w="332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3.</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Quantitative and Qualitative Disclosures about Market Risk</w:t>
            </w:r>
          </w:p>
        </w:tc>
        <w:tc>
          <w:tcPr>
            <w:tcW w:w="546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82</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9"/>
              </w:rPr>
              <w:t>Controls and Procedures</w:t>
            </w:r>
          </w:p>
        </w:tc>
        <w:tc>
          <w:tcPr>
            <w:tcW w:w="8000" w:type="dxa"/>
            <w:vAlign w:val="bottom"/>
            <w:gridSpan w:val="15"/>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76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7"/>
              </w:rPr>
              <w:t>PART II — OTHER INFORMATION</w:t>
            </w:r>
          </w:p>
        </w:tc>
        <w:tc>
          <w:tcPr>
            <w:tcW w:w="7900" w:type="dxa"/>
            <w:vAlign w:val="bottom"/>
            <w:gridSpan w:val="14"/>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64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rPr>
              <w:t>Item 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Legal Proceedings</w:t>
            </w:r>
          </w:p>
        </w:tc>
        <w:tc>
          <w:tcPr>
            <w:tcW w:w="8440" w:type="dxa"/>
            <w:vAlign w:val="bottom"/>
            <w:gridSpan w:val="17"/>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3051F2"/>
              </w:rPr>
              <w:t>Item 1A.</w:t>
            </w:r>
          </w:p>
        </w:tc>
        <w:tc>
          <w:tcPr>
            <w:tcW w:w="9900" w:type="dxa"/>
            <w:vAlign w:val="bottom"/>
            <w:gridSpan w:val="25"/>
          </w:tcPr>
          <w:p>
            <w:pPr>
              <w:ind w:left="120"/>
              <w:spacing w:after="0"/>
              <w:rPr>
                <w:sz w:val="20"/>
                <w:szCs w:val="20"/>
                <w:color w:val="auto"/>
              </w:rPr>
            </w:pPr>
            <w:r>
              <w:rPr>
                <w:rFonts w:ascii="Times New Roman" w:cs="Times New Roman" w:eastAsia="Times New Roman" w:hAnsi="Times New Roman"/>
                <w:sz w:val="18"/>
                <w:szCs w:val="18"/>
                <w:color w:val="3051F2"/>
              </w:rPr>
              <w:t>Risk Factors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tcBorders>
              <w:bottom w:val="single" w:sz="8" w:color="3051F2"/>
            </w:tcBorders>
            <w:gridSpan w:val="16"/>
          </w:tcPr>
          <w:p>
            <w:pPr>
              <w:spacing w:after="0"/>
              <w:rPr>
                <w:sz w:val="20"/>
                <w:szCs w:val="20"/>
                <w:color w:val="auto"/>
              </w:rPr>
            </w:pPr>
            <w:r>
              <w:rPr>
                <w:rFonts w:ascii="Times New Roman" w:cs="Times New Roman" w:eastAsia="Times New Roman" w:hAnsi="Times New Roman"/>
                <w:sz w:val="18"/>
                <w:szCs w:val="18"/>
                <w:color w:val="3051F2"/>
                <w:w w:val="99"/>
              </w:rPr>
              <w:t>Unregistered Sales of Equity Securities and Use of Proceeds</w:t>
            </w:r>
          </w:p>
        </w:tc>
        <w:tc>
          <w:tcPr>
            <w:tcW w:w="542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85</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3.</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Defaults Upon Senior Securities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4.</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top w:val="single" w:sz="8" w:color="3051F2"/>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9"/>
              </w:rPr>
              <w:t>Mine Safety Disclosures</w:t>
            </w:r>
          </w:p>
        </w:tc>
        <w:tc>
          <w:tcPr>
            <w:tcW w:w="540" w:type="dxa"/>
            <w:vAlign w:val="bottom"/>
            <w:tcBorders>
              <w:top w:val="single" w:sz="8" w:color="3051F2"/>
            </w:tcBorders>
            <w:gridSpan w:val="3"/>
          </w:tcPr>
          <w:p>
            <w:pPr>
              <w:spacing w:after="0"/>
              <w:rPr>
                <w:sz w:val="24"/>
                <w:szCs w:val="24"/>
                <w:color w:val="auto"/>
              </w:rPr>
            </w:pPr>
          </w:p>
        </w:tc>
        <w:tc>
          <w:tcPr>
            <w:tcW w:w="7460" w:type="dxa"/>
            <w:vAlign w:val="bottom"/>
            <w:gridSpan w:val="1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86</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7"/>
              </w:rPr>
              <w:t>Item 5.</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8"/>
              </w:rPr>
              <w:t>Other Information</w:t>
            </w:r>
          </w:p>
        </w:tc>
        <w:tc>
          <w:tcPr>
            <w:tcW w:w="8460" w:type="dxa"/>
            <w:vAlign w:val="bottom"/>
            <w:gridSpan w:val="1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3051F2"/>
                <w:w w:val="97"/>
              </w:rPr>
              <w:t>Item 6.</w:t>
            </w:r>
          </w:p>
        </w:tc>
        <w:tc>
          <w:tcPr>
            <w:tcW w:w="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Exhibits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3051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2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80" w:type="dxa"/>
            <w:vAlign w:val="bottom"/>
            <w:gridSpan w:val="24"/>
          </w:tcPr>
          <w:p>
            <w:pPr>
              <w:spacing w:after="0"/>
              <w:rPr>
                <w:sz w:val="20"/>
                <w:szCs w:val="20"/>
                <w:color w:val="auto"/>
              </w:rPr>
            </w:pPr>
            <w:r>
              <w:rPr>
                <w:rFonts w:ascii="Times New Roman" w:cs="Times New Roman" w:eastAsia="Times New Roman" w:hAnsi="Times New Roman"/>
                <w:sz w:val="18"/>
                <w:szCs w:val="18"/>
                <w:color w:val="3051F2"/>
              </w:rPr>
              <w:t>Signatures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3051F2"/>
            </w:tcBorders>
            <w:gridSpan w:val="3"/>
          </w:tcPr>
          <w:p>
            <w:pPr>
              <w:spacing w:after="0"/>
              <w:rPr>
                <w:sz w:val="24"/>
                <w:szCs w:val="24"/>
                <w:color w:val="auto"/>
              </w:rPr>
            </w:pPr>
          </w:p>
        </w:tc>
        <w:tc>
          <w:tcPr>
            <w:tcW w:w="4140" w:type="dxa"/>
            <w:vAlign w:val="bottom"/>
            <w:gridSpan w:val="14"/>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financial statements and other disclosures contained in this report include those of Tradeweb Markets Inc., which is the registrant, and those of its consolidating subsidiaries, including Tradeweb Markets LLC, which became the principal operating subsidiary of Tradeweb Markets Inc. on April 4, 2019 in a series of reorganization transactions (the “Reorganization Transactions”) that were completed in connection with Tradeweb Markets Inc.’s initial public offering (the “IPO”), which closed on April 8, 2019.</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Transactions completed in connection with the IPO, Tradeweb Markets Inc. became a holding company whose only material assets consist of its equity interest in Tradeweb Markets LLC and related deferred tax assets. As the sole manager of Tradeweb Markets LLC, Tradeweb Markets Inc. operates and controls all of the business and affairs of Tradeweb Markets LLC and, through Tradeweb Markets LLC and its subsidiaries, conducts its business. As a result of this control, and because Tradeweb Markets Inc. has a substantial financial interest in Tradeweb Markets LLC, Tradeweb Markets Inc. consolidates the financial results of Tradeweb Markets LLC and its subsidiaries.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 references to:</w:t>
      </w:r>
    </w:p>
    <w:p>
      <w:pPr>
        <w:spacing w:after="0" w:line="198" w:lineRule="exact"/>
        <w:rPr>
          <w:sz w:val="20"/>
          <w:szCs w:val="20"/>
          <w:color w:val="auto"/>
        </w:rPr>
      </w:pPr>
    </w:p>
    <w:p>
      <w:pPr>
        <w:ind w:left="660" w:right="20" w:hanging="328"/>
        <w:spacing w:after="0" w:line="281"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 “our,” the “Company,” “Tradeweb” and similar references refer: (i) on or prior to the completion of the Reorganization Transactions to Tradeweb Markets LLC, which we refer to as “TWM LLC,” and, unless otherwise stated or the context otherwise requires, all of its subsidiaries and any predecessor entities, and (ii) following the completion of the Reorganization Transactions to Tradeweb Markets Inc., and, unless otherwise stated or the context otherwise requires, its subsidiaries, including TWM LLC and all of its subsidiaries, and any predecessor entities.</w:t>
      </w:r>
    </w:p>
    <w:p>
      <w:pPr>
        <w:spacing w:after="0" w:line="123" w:lineRule="exact"/>
        <w:rPr>
          <w:rFonts w:ascii="Times New Roman" w:cs="Times New Roman" w:eastAsia="Times New Roman" w:hAnsi="Times New Roman"/>
          <w:sz w:val="17"/>
          <w:szCs w:val="17"/>
          <w:color w:val="auto"/>
        </w:rPr>
      </w:pPr>
    </w:p>
    <w:p>
      <w:pPr>
        <w:ind w:left="660" w:right="100" w:hanging="328"/>
        <w:spacing w:after="0" w:line="312"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 Stockholders” refer collectively to entities affiliated with certain dealer clients, which, prior to the completion of the IPO, collectively held a 46% ownership interest in Tradeweb. Subsequent to August 2022, there were no LLC Interests (as defined below) held by Bank Stockholders.</w:t>
      </w:r>
    </w:p>
    <w:p>
      <w:pPr>
        <w:spacing w:after="0" w:line="99" w:lineRule="exact"/>
        <w:rPr>
          <w:rFonts w:ascii="Times New Roman" w:cs="Times New Roman" w:eastAsia="Times New Roman" w:hAnsi="Times New Roman"/>
          <w:sz w:val="17"/>
          <w:szCs w:val="17"/>
          <w:color w:val="auto"/>
        </w:rPr>
      </w:pPr>
    </w:p>
    <w:p>
      <w:pPr>
        <w:ind w:left="660" w:right="2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LLC Owners” refer collectively to (i) those Original LLC Owners (as defined below), including an indirect subsidiary of Refinitiv (as defined below), certain of the Bank Stockholders and members of management, that continued to own LLC Interests after the completion of the IPO and Reorganization Transactions and that received shares of our Class C common stock, shares of our Class D common stock or a combination of both, as the case may be, in connection with the completion of the Reorganization Transactions, (ii) any subsequent transferee of any Original LLC Owner that has executed a joinder agreement to TWM LLC’s limited liability company agreement (the “TWM LLC Agreement”) and (iii) solely with respect to the Tax Receivable Agreement (as defined below),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64"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Group” refer to certain investment funds affiliated with Blackstone Inc., an affiliate of Canada Pension Plan Investment Board, an affiliate of GIC Special Investments Pte. Ltd. and certain co-investors, which prior to the LSEG Transaction (as defined below) collectively held indirectly a 55% ownership interest in Refinitiv.</w:t>
      </w:r>
    </w:p>
    <w:p>
      <w:pPr>
        <w:spacing w:after="0" w:line="135"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Interests” refer to the single class of common membership interests of TWM LLC. LLC Interests, other than those held directly or indirectly by Tradeweb Markets Inc., are redeemable or exchangeable in accordance with the TWM LLC Agreement for shares of Class A common stock or Class B common stock, as the case may be, on a one-for-one basis. References to LLC Interests held by Tradeweb Markets Inc. and comparable terminology refer to LLC Interests held by Tradeweb Markets Inc. directly as well as indirectly through direct, wholly-owned subsidiaries of Tradeweb Markets Inc. (which are holding companies with no independent operations).</w:t>
      </w:r>
    </w:p>
    <w:p>
      <w:pPr>
        <w:spacing w:after="0" w:line="142"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Transaction” refer to the acquisition of the Refinitiv business by LSEG (as defined below), in an all share transaction, which closed on January 29, 2021. The Refinitiv business was rebranded by LSEG as LSEG Data &amp; Analytics during the fourth quarter of 2023.</w:t>
      </w:r>
    </w:p>
    <w:p>
      <w:pPr>
        <w:spacing w:after="0" w:line="134"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refer to London Stock Exchange Group plc, and unless otherwise stated or the context otherwise requires, all of its direct and indirect subsidiaries, including Refinitiv.</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LLC Owners” refer to the owners of TWM LLC prior to the Reorganization Transactions.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right="2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prior to the LSEG Transaction, refer to Refinitiv Holdings Limited, and unless otherwise stated or the context otherwise requires, all of its direct and indirect subsidiaries, and subsequent to the LSEG Transaction, refer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Tradeweb, and was controlled by the Investor Group prior to the LSEG Transaction.</w:t>
      </w:r>
    </w:p>
    <w:p>
      <w:pPr>
        <w:spacing w:after="0" w:line="156"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“Refinitiv Transaction” refer to the transaction pursuant to which Refinitiv indirectly acquired on October 1, 2018 substantially all of the financial and risk business of Thomson Reuters and Thomson Reuters indirectly acquired a 45% ownership interest in Refinitiv.</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“Thomson Reuters” or “TR” refer to Thomson Reuters Corporation, which prior to the LSEG Transaction indirectly held a 45% ownership interest in Refinitiv.</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Numerical figures included in this Quarterly Report on Form 10-Q have been subject to rounding adjustments. Accordingly, numerical figures shown as totals in various tables may not be arithmetic aggregations of the figures that precede them. In addition, we round certain percentages presented in this Quarterly Report on Form 10-Q to the nearest whole number. As a result, figures expressed as percentages in the text may not total 100% or, when aggregated, may not be the arithmetic aggregation of the percentages that precede them.</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USE OF NON-GAAP FINANCIAL MEASURES</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contains “non-GAAP financial measures,” which are financial measures that are not calculated and presented in accordance with accounting principles generally accepted in the United States of America (“GAAP”).</w:t>
      </w:r>
    </w:p>
    <w:p>
      <w:pPr>
        <w:spacing w:after="0" w:line="121"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The Securities and Exchange Commission (“SEC”) has adopted rules to regulate the use of non-GAAP financial measures in filings with the SEC and in other public disclosures. These rules govern the manner in which non-GAAP financial measures are publicly presented and require, among other things:</w:t>
      </w:r>
    </w:p>
    <w:p>
      <w:pPr>
        <w:spacing w:after="0" w:line="135" w:lineRule="exact"/>
        <w:rPr>
          <w:sz w:val="20"/>
          <w:szCs w:val="20"/>
          <w:color w:val="auto"/>
        </w:rPr>
      </w:pPr>
    </w:p>
    <w:p>
      <w:pPr>
        <w:ind w:left="660" w:right="3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presentation with equal or greater prominence of the most comparable financial measure or measures calculated and presented in accordance with GAAP;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disclosing the purposes for which the registrant’s management uses the non-GAAP financial measure.</w:t>
      </w:r>
    </w:p>
    <w:p>
      <w:pPr>
        <w:spacing w:after="0" w:line="1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Specifically, we make use of the non-GAAP financial measures “Free Cash Flow,” “Adjusted EBITDA,” “Adjusted EBITDA margin,” “Adjusted EBIT,” “Adjusted EBIT margin,” “Adjusted Net Income” and “Adjusted Diluted EPS,” as well as the change in revenue, Adjusted EBITDA margin and Adjusted EBIT margin on a constant currency basis, in evaluating our historical results and future prospects. For the definition of Free Cash Flow and a reconciliation to cash flow from operating activities, its most directly comparable financial measure presented in accordance with GAAP, see Part I, Item 2.</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“Management’s Discussion and Analysis of Financial Condition and Results of Operations—Non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GAAP Financial Measures.” For the definitions of Adjusted EBITDA, Adjusted EBIT and Adjusted Net Income and reconciliations to net income and net income attributable to Tradeweb Markets Inc., as applicable, their most directly comparable financial measures presented in accordance with GAAP, see Part I, Item 2. – “Management’s Discussion and Analysis of Financial Condition and Results of Operations—Non-GAAP Financial Measures.” For the definition of constant currency revenue change, see Part I, Item 2. – “Management’s Discussion and Analysis of Financial Condition and Results of Operations—Results of Operations.” Adjusted EBITDA margin and Adjusted EBIT margin are defined as Adjusted EBITDA and Adjusted EBIT, respectively, divided by revenue for the applicable period. For the definition of constant currency change in Adjusted EBITDA margin and Adjusted EBIT margin, see Part I, Item 2. – “Management’s Discussion and Analysis of Financial Condition and Results of Operations—Non-GAAP Financial Measures.”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16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program is based in part on components of Adjusted EBITDA and Adjusted EBITDA margin.</w:t>
      </w:r>
    </w:p>
    <w:p>
      <w:pPr>
        <w:spacing w:after="0" w:line="14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use constant currency measures as supplemental metrics to evaluate our underlying performance between periods by removing the impact of foreign currency fluctuations. We believe that providing certain percentage changes on a constant currency basis provides useful comparisons of our performance and trends between periods.</w:t>
      </w:r>
    </w:p>
    <w:p>
      <w:pPr>
        <w:spacing w:after="0" w:line="13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Each of the adjustments described in the definition of Adjusted Net Income helps to provide management with a measure of our operating performance over time by removing items that are not related to day-to-day operations or are non-cash expenses.</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Free Cash Flow, Adjusted EBITDA, Adjusted EBITDA margin, Adjusted EBIT, Adjusted EBIT margin, Adjusted Net Income, Adjusted Diluted EPS and constant currency measures have limitations as analytical tools, and you should not consider such measures either in isolation or as substitutes for analyzing our results as reported under GAAP. Some of these limitations include the following:</w:t>
      </w:r>
    </w:p>
    <w:p>
      <w:pPr>
        <w:spacing w:after="0" w:line="149" w:lineRule="exact"/>
        <w:rPr>
          <w:sz w:val="20"/>
          <w:szCs w:val="20"/>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Adjusted EBITDA, Adjusted EBIT, Adjusted Net Income and Adjusted Diluted EPS do not reflect every expenditure, future requirements for capital expenditures or contractual commitments;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changes in our working capital needs;</w:t>
      </w:r>
    </w:p>
    <w:p>
      <w:pPr>
        <w:spacing w:after="0" w:line="18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any interest income or expense, or the amounts necessary to service interest or principal payments on any debt obligations;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income tax expense, which is a necessary element of our costs and ability to operate;</w:t>
      </w:r>
    </w:p>
    <w:p>
      <w:pPr>
        <w:spacing w:after="0" w:line="184"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eliminated in the calculation of Adjusted EBITDA, and the depreciation and amortization related to acquisitions and the Refinitiv Transaction are eliminated in the calculation of Adjusted EBIT, the assets being depreciated and amortized will often have to be replaced in the future, and Adjusted EBITDA and Adjusted EBIT do not reflect any costs of such replacements;</w:t>
      </w:r>
    </w:p>
    <w:p>
      <w:pPr>
        <w:spacing w:after="0" w:line="13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non-cash component of certain employee stock-based compensation expense and associated payroll taxes;</w:t>
      </w:r>
    </w:p>
    <w:p>
      <w:pPr>
        <w:spacing w:after="0" w:line="134"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Diluted EPS do not reflect the impact of earnings or charges resulting from matters we consider not to be indicative, on a recurring basis, of our ongoing operations;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measures do not reflect the impact of foreign currency fluctuations; and</w:t>
      </w:r>
    </w:p>
    <w:p>
      <w:pPr>
        <w:spacing w:after="0" w:line="184"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Free Cash Flow, Adjusted EBITDA, Adjusted EBIT, Adjusted Net Income, Adjusted Diluted EPS, constant currency measures or similarly titled measures differently than we do, limiting their usefulness as comparative measures.</w:t>
      </w:r>
    </w:p>
    <w:p>
      <w:pPr>
        <w:spacing w:after="0" w:line="13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compensate for these limitations by relying primarily on our GAAP results and using Free Cash Flow, Adjusted EBITDA, Adjusted EBIT, Adjusted Net Income, Adjusted Diluted EPS and constant currency measures only as supplemental information.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3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You can generally identify forward-looking statements by our use of forward-looking terminology such as “anticipate,” “believe,” “continue,” “could,” “estimate,” “expect,” “intend,” “may,” “might,” “plan,” “potential,” “predict,” “projection,” “seek,” “should,” “will” or “would,” or the negative thereof or other variations thereon or comparable terminology. In particular, statements about the markets in which we operate, including our expectations about market trends, our market opportunity and the growth of our various markets, our expansion into new markets, expansion and growth opportunities and other synergies resulting from acquisitions of companies (including with respect to Tradeweb’s proposed acquisition of Trumid and the acquisition’s effect on our business), investments or other strategic transactions, any potential tax savings we may realize as a result of our organizational structure, our dividend policy, our share repurchase program and our expectations, beliefs, plans, strategies, objectives, prospects or assumptions regarding future events, our performance or otherwise, contained in this Quarterly Report on Form 10-Q are forward-looking statements.</w:t>
      </w:r>
    </w:p>
    <w:p>
      <w:pPr>
        <w:spacing w:after="0" w:line="1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may cause our actual results, performance or achievements to differ materially from those expressed or implied by these forward-looking statements, or could affect our stock price.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of the factors that could cause actual results to differ materially from those expressed or implied by the forward-looking statements include:</w:t>
      </w:r>
    </w:p>
    <w:p>
      <w:pPr>
        <w:spacing w:after="0" w:line="19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political, social and market conditions and the impact of these changes on trading volumes;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compete successfully;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adapt our business effectively to keep pace with industry and technological changes;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and concentration in the financial services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dealer clients;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defects, errors, failures or delays with our platform or solutions;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for certain market data and certain key functions;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profitably;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acquisition or to realize benefits from any strategic alliances, partnerships, joint ventures or investments;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cryptocurrency and other digital assets;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and grow the capacity of our trading platform, systems and infrastructure;</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failures, interruptions, delays in services, cybersecurity incidents, catastrophic events and any resulting interruptions;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protection of our intellectual property;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industry;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services of our senior management team;</w:t>
      </w:r>
    </w:p>
    <w:p>
      <w:pPr>
        <w:spacing w:after="0" w:line="19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operating our business and incurring additional indebtedness as a result of covenant restrictions under our $500.0 million senior unsecured revolving credit facility (the “2023 Revolving Credit Facility”) with Citibank, N.A., as administrative agent, and the other lenders party thereto;</w:t>
      </w:r>
    </w:p>
    <w:p>
      <w:pPr>
        <w:spacing w:after="0" w:line="13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distributions from TWM LLC to fund our expected dividend payments and to pay our taxes and expenses, including payments under the tax receivable agreement (the “Tax Receivable Agreement”) entered into in connection with the IPO;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benefit from our organizational structure;</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LSEG’s control of us and our status as a controlled company; and</w:t>
      </w:r>
    </w:p>
    <w:p>
      <w:pPr>
        <w:spacing w:after="0" w:line="18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Part I, Item 1A. “Risk Factors” of our Annual Report on Form 10-K for the year ended December 31, 2025 (the “2025 Form 10-K”), filed with the SEC and in other filings we may make from time to time with the SEC.</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such forward-looking statements. The forward-looking statements contained in this Quarterly Report on Form 10-Q are not guarantees of future events or performance and future events, our actual results of operations, financial condition or liquidity, and the development of the industry and markets in which we operate, may differ materially from the forward-looking statements contained in this Quarterly Report on Form 10-Q. In addition, even if future events, our results of operations, financial condition or liquidity, and events in the industry and markets in which we operate, are consistent with the forward-looking statements contained in this Quarterly Report on Form 10-Q, they may not be predictive of events, results or developments in future periods.</w:t>
      </w:r>
    </w:p>
    <w:p>
      <w:pPr>
        <w:spacing w:after="0" w:line="16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Any forward-looking statement that we make in this Quarterly Report on Form 10-Q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Quarterly Report on Form 10-Q.</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and operational information using our investor relations website, press releases, SEC filings and public conference calls and webcasts. Information about Tradeweb, our business and our results of operations may also be announced by posts on Tradeweb’s accounts on the following social media channels: Instagram, LinkedIn and X.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Tradeweb Markets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Financial Condition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2,114,895</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2,084,739</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from brokers and dealers and clearing organizations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137,347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8,630</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58,282</w:t>
            </w:r>
          </w:p>
        </w:tc>
      </w:tr>
      <w:tr>
        <w:trPr>
          <w:trHeight w:val="206"/>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$113 and $587 at September 30, 2026 and December 31, 2025, respectively</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326,748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257,845</w:t>
            </w:r>
          </w:p>
        </w:tc>
      </w:tr>
      <w:tr>
        <w:trPr>
          <w:trHeight w:val="2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equipment, purchased software and leasehold improvements, net of accumulated depreciation and amortization</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83,065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78,193</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right-of-use assets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123,065</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 development costs, net of accumulated amortization</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253,829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270,295</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3,150,112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3,150,112</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1,060,765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1,148,015</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and due from related parties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8,303</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561,784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568,832</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Digital assets and other investments at fair value</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270,476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291,997</w:t>
            </w: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274,546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140,249</w:t>
            </w:r>
          </w:p>
        </w:tc>
      </w:tr>
      <w:tr>
        <w:trPr>
          <w:trHeight w:val="203"/>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8,429,354</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8,189,557</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8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3"/>
        </w:trPr>
        <w:tc>
          <w:tcPr>
            <w:tcW w:w="8440" w:type="dxa"/>
            <w:vAlign w:val="bottom"/>
          </w:tcPr>
          <w:p>
            <w:pPr>
              <w:ind w:left="35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to brokers and dealers and clearing organizations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90,989</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218,194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251,169</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29,030</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219,866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183,970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liabilities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139,168</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and due to related parties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7,090</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50,011</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317,495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336,519</w:t>
            </w:r>
          </w:p>
        </w:tc>
      </w:tr>
      <w:tr>
        <w:trPr>
          <w:trHeight w:val="19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1,095,149</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1,000,320</w:t>
            </w:r>
          </w:p>
        </w:tc>
      </w:tr>
      <w:tr>
        <w:trPr>
          <w:trHeight w:val="189"/>
        </w:trPr>
        <w:tc>
          <w:tcPr>
            <w:tcW w:w="8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3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7"/>
        </w:trPr>
        <w:tc>
          <w:tcPr>
            <w:tcW w:w="8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03"/>
        </w:trPr>
        <w:tc>
          <w:tcPr>
            <w:tcW w:w="8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3"/>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8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$0.00001 par value; 250,000,000 shares authorized; none issued or outstanding</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$0.00001 par value; 1,000,000,000 shares authorized; 112,142,045 and 115,502,689 shares issued and outstanding as of</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2026 and December 31, 2025, respectively</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B common stock, $0.00001 par value; 450,000,000 shares authorized; 96,933,192 and 96,933,192 shares issued and outstanding as of</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2026 and December 31, 2025, respectively</w:t>
            </w: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C common stock, $0.00001 par value; 350,000,000 shares authorized; 18,000,000 and 18,000,000 shares issued and outstanding as of</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2"/>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2026 and December 31, 2025, respectively</w:t>
            </w:r>
          </w:p>
        </w:tc>
        <w:tc>
          <w:tcPr>
            <w:tcW w:w="16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D common stock, $0.00001 par value; 300,000,000 shares authorized; 5,056,868 and 5,056,868 shares issued and outstanding as of</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5"/>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2026 and December 31, 2025, respectively</w:t>
            </w: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4,980,559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4,895,810</w:t>
            </w: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10,899</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1,643,258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1,601,044</w:t>
            </w: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stockholders’ equity attributable to Tradeweb Markets Inc.</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6,622,028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6,507,755</w:t>
            </w: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712,177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681,482</w:t>
            </w:r>
          </w:p>
        </w:tc>
      </w:tr>
      <w:tr>
        <w:trPr>
          <w:trHeight w:val="202"/>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7,334,205</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7,189,237</w:t>
            </w:r>
          </w:p>
        </w:tc>
      </w:tr>
      <w:tr>
        <w:trPr>
          <w:trHeight w:val="191"/>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8,429,354</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8,189,557</w:t>
            </w:r>
          </w:p>
        </w:tc>
      </w:tr>
      <w:tr>
        <w:trPr>
          <w:trHeight w:val="26"/>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480" w:type="dxa"/>
            <w:vAlign w:val="bottom"/>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5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 fees and commissions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491,797</w:t>
            </w:r>
          </w:p>
        </w:tc>
        <w:tc>
          <w:tcPr>
            <w:tcW w:w="8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421,309</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1,480,965</w:t>
            </w:r>
          </w:p>
        </w:tc>
        <w:tc>
          <w:tcPr>
            <w:tcW w:w="8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1,272,421</w:t>
            </w: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Subscription fees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61,410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183,407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173,999</w:t>
            </w: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LSEG market data fees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26,539</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79,777</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70,028</w:t>
            </w: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4,799</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17,106</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14,798</w:t>
            </w:r>
          </w:p>
        </w:tc>
      </w:tr>
      <w:tr>
        <w:trPr>
          <w:trHeight w:val="186"/>
        </w:trPr>
        <w:tc>
          <w:tcPr>
            <w:tcW w:w="56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584,545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508,598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1,761,255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1,531,246</w:t>
            </w:r>
          </w:p>
        </w:tc>
      </w:tr>
      <w:tr>
        <w:trPr>
          <w:trHeight w:val="23"/>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5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96"/>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9"/>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178,927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549,182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511,563</w:t>
            </w: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62,319</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184,515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190,098</w:t>
            </w: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 and communications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44,623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126,148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92,807</w:t>
            </w: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45,884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66,616</w:t>
            </w: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44,846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38,100</w:t>
            </w:r>
          </w:p>
        </w:tc>
      </w:tr>
      <w:tr>
        <w:trPr>
          <w:trHeight w:val="196"/>
        </w:trPr>
        <w:tc>
          <w:tcPr>
            <w:tcW w:w="5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8,165</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24,735</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17,737</w:t>
            </w:r>
          </w:p>
        </w:tc>
      </w:tr>
      <w:tr>
        <w:trPr>
          <w:trHeight w:val="203"/>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331,115</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298,227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975,310</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916,921</w:t>
            </w:r>
          </w:p>
        </w:tc>
      </w:tr>
      <w:tr>
        <w:trPr>
          <w:trHeight w:val="19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253,430</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210,371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785,945</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614,325</w:t>
            </w:r>
          </w:p>
        </w:tc>
      </w:tr>
      <w:tr>
        <w:trPr>
          <w:trHeight w:val="196"/>
        </w:trPr>
        <w:tc>
          <w:tcPr>
            <w:tcW w:w="5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18,353</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53,955</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49,169</w:t>
            </w: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w:t>
            </w: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18,742</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24,864</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56,306</w:t>
            </w:r>
          </w:p>
        </w:tc>
      </w:tr>
      <w:tr>
        <w:trPr>
          <w:trHeight w:val="190"/>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before taxes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290,003</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269,617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863,113</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718,262</w:t>
            </w:r>
          </w:p>
        </w:tc>
      </w:tr>
      <w:tr>
        <w:trPr>
          <w:trHeight w:val="202"/>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(65,098)</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(59,068)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(198,355)</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(163,886)</w:t>
            </w:r>
          </w:p>
        </w:tc>
      </w:tr>
      <w:tr>
        <w:trPr>
          <w:trHeight w:val="190"/>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224,905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210,549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664,758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554,376</w:t>
            </w:r>
          </w:p>
        </w:tc>
      </w:tr>
      <w:tr>
        <w:trPr>
          <w:trHeight w:val="202"/>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27,448</w:t>
            </w:r>
          </w:p>
        </w:tc>
        <w:tc>
          <w:tcPr>
            <w:tcW w:w="8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80,699</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66,576</w:t>
            </w:r>
          </w:p>
        </w:tc>
      </w:tr>
      <w:tr>
        <w:trPr>
          <w:trHeight w:val="20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Tradeweb Markets Inc.</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197,457</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185,636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584,059</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487,800</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5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3"/>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per share attributable to Tradeweb Markets Inc. Class A and B common stockholders: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
        </w:trPr>
        <w:tc>
          <w:tcPr>
            <w:tcW w:w="5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28"/>
        </w:trPr>
        <w:tc>
          <w:tcPr>
            <w:tcW w:w="5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8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0.86</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80" w:type="dxa"/>
            <w:vAlign w:val="bottom"/>
          </w:tcPr>
          <w:p>
            <w:pPr>
              <w:spacing w:after="0"/>
              <w:rPr>
                <w:sz w:val="15"/>
                <w:szCs w:val="15"/>
                <w:color w:val="auto"/>
              </w:rPr>
            </w:pPr>
          </w:p>
        </w:tc>
        <w:tc>
          <w:tcPr>
            <w:tcW w:w="4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95"/>
        </w:trPr>
        <w:tc>
          <w:tcPr>
            <w:tcW w:w="5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210,409,905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213,359,090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211,844,545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213,263,111</w:t>
            </w:r>
          </w:p>
        </w:tc>
      </w:tr>
      <w:tr>
        <w:trPr>
          <w:trHeight w:val="21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210,903,847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214,983,486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212,332,878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214,951,279</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224,905</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210,549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664,758</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554,376</w:t>
            </w:r>
          </w:p>
        </w:tc>
        <w:tc>
          <w:tcPr>
            <w:tcW w:w="0" w:type="dxa"/>
            <w:vAlign w:val="bottom"/>
          </w:tcPr>
          <w:p>
            <w:pPr>
              <w:spacing w:after="0"/>
              <w:rPr>
                <w:sz w:val="1"/>
                <w:szCs w:val="1"/>
                <w:color w:val="auto"/>
              </w:rPr>
            </w:pPr>
          </w:p>
        </w:tc>
      </w:tr>
      <w:tr>
        <w:trPr>
          <w:trHeight w:val="17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Foreign currency translation adjustments, with no tax benefit for each of the three and nine</w:t>
            </w: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(3,815)</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12,743</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months ended September 30, 2026 and 2025</w:t>
            </w:r>
          </w:p>
        </w:tc>
        <w:tc>
          <w:tcPr>
            <w:tcW w:w="3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62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Unrealized gain on available-for-sale debt security, net of tax expense of $0, $1,521, $3,268</w:t>
            </w:r>
          </w:p>
        </w:tc>
        <w:tc>
          <w:tcPr>
            <w:tcW w:w="30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4,412</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10,224</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7,138</w:t>
            </w:r>
          </w:p>
        </w:tc>
        <w:tc>
          <w:tcPr>
            <w:tcW w:w="0" w:type="dxa"/>
            <w:vAlign w:val="bottom"/>
          </w:tcPr>
          <w:p>
            <w:pPr>
              <w:spacing w:after="0"/>
              <w:rPr>
                <w:sz w:val="1"/>
                <w:szCs w:val="1"/>
                <w:color w:val="auto"/>
              </w:rPr>
            </w:pPr>
          </w:p>
        </w:tc>
      </w:tr>
      <w:tr>
        <w:trPr>
          <w:trHeight w:val="195"/>
        </w:trPr>
        <w:tc>
          <w:tcPr>
            <w:tcW w:w="5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$2,320 for the three and nine months ended September 30, 2026 and 2025, respectively</w:t>
            </w: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6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Less: Reclassification adjustment for gain on available-for-sale debt security, included in net</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62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income, net of tax expense of $6,655 for both the three and nine months ended September</w:t>
            </w: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(20,822)</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(20,822)</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5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30, 2026</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vMerge w:val="continue"/>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(20,315)</w:t>
            </w:r>
          </w:p>
        </w:tc>
        <w:tc>
          <w:tcPr>
            <w:tcW w:w="10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(14,413)</w:t>
            </w:r>
          </w:p>
        </w:tc>
        <w:tc>
          <w:tcPr>
            <w:tcW w:w="100" w:type="dxa"/>
            <w:vAlign w:val="bottom"/>
            <w:tcBorders>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19,881</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204,590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650,345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574,257</w:t>
            </w:r>
          </w:p>
        </w:tc>
        <w:tc>
          <w:tcPr>
            <w:tcW w:w="0" w:type="dxa"/>
            <w:vAlign w:val="bottom"/>
          </w:tcPr>
          <w:p>
            <w:pPr>
              <w:spacing w:after="0"/>
              <w:rPr>
                <w:sz w:val="1"/>
                <w:szCs w:val="1"/>
                <w:color w:val="auto"/>
              </w:rPr>
            </w:pPr>
          </w:p>
        </w:tc>
      </w:tr>
      <w:tr>
        <w:trPr>
          <w:trHeight w:val="217"/>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27,448</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24,913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80,699</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66,576</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Other comprehensive income (loss) attributable to non-controlling interests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(2,590)</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0" w:type="dxa"/>
            <w:vAlign w:val="bottom"/>
          </w:tcPr>
          <w:p>
            <w:pPr>
              <w:spacing w:after="0"/>
              <w:rPr>
                <w:sz w:val="1"/>
                <w:szCs w:val="1"/>
                <w:color w:val="auto"/>
              </w:rPr>
            </w:pPr>
          </w:p>
        </w:tc>
      </w:tr>
      <w:tr>
        <w:trPr>
          <w:trHeight w:val="22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Tradeweb Markets Inc.</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179,732</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186,354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571,361</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505,531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3"/>
                <w:szCs w:val="13"/>
                <w:b w:val="1"/>
                <w:bCs w:val="1"/>
                <w:color w:val="auto"/>
                <w:w w:val="96"/>
              </w:rPr>
              <w:t>Tradeweb Markets Inc. Stockholders’ Equity</w:t>
            </w: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00" w:type="dxa"/>
            <w:vAlign w:val="bottom"/>
          </w:tcPr>
          <w:p>
            <w:pPr>
              <w:spacing w:after="0"/>
              <w:rPr>
                <w:sz w:val="9"/>
                <w:szCs w:val="9"/>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C</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D</w:t>
            </w:r>
          </w:p>
        </w:tc>
        <w:tc>
          <w:tcPr>
            <w:tcW w:w="120" w:type="dxa"/>
            <w:vAlign w:val="bottom"/>
          </w:tcPr>
          <w:p>
            <w:pPr>
              <w:spacing w:after="0"/>
              <w:rPr>
                <w:sz w:val="9"/>
                <w:szCs w:val="9"/>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9"/>
                <w:szCs w:val="9"/>
                <w:color w:val="auto"/>
              </w:rPr>
            </w:pPr>
          </w:p>
        </w:tc>
        <w:tc>
          <w:tcPr>
            <w:tcW w:w="104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5"/>
                <w:szCs w:val="15"/>
                <w:color w:val="auto"/>
              </w:rPr>
            </w:pPr>
          </w:p>
        </w:tc>
        <w:tc>
          <w:tcPr>
            <w:tcW w:w="7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4,895,810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1,601,044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681,482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7,189,237</w:t>
            </w: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from equity incentive</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2,983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2,983</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Share repurchases pursuant to share repurchase</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(50,724)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(50,724)</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34,905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34,905</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12,037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(12,040)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(7,646)</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($0.14 per share)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(29,770)</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25,728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25,728</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(84,978)</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233,167</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4,886,485</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7,933</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1,725,834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689,384</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7,309,638</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8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Share repurchases pursuant to share repurchase</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8"/>
                <w:szCs w:val="8"/>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(190,317)</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(190,317)</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4,463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4,463</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9,920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(2,396)</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($0.14 per share)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(29,734)</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30,798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30,798</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206,686</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9,166</w:t>
            </w: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2026</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4,931,516</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15,912</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1,687,101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703,623</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7,338,154</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08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Share repurchases pursuant to share repurchase</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8"/>
                <w:szCs w:val="8"/>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(211,880)</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(211,880)</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10,404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10,404</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12,215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(4,067)</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($0.14 per share)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(29,420)</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27,327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27,327</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224,905</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(20,315)</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2026</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4,980,559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1,643,258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712,177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7,334,205</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Changes in Equity – (Continued)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9"/>
          </w:tcPr>
          <w:p>
            <w:pPr>
              <w:ind w:left="200"/>
              <w:spacing w:after="0"/>
              <w:rPr>
                <w:sz w:val="20"/>
                <w:szCs w:val="20"/>
                <w:color w:val="auto"/>
              </w:rPr>
            </w:pPr>
            <w:r>
              <w:rPr>
                <w:rFonts w:ascii="Times New Roman" w:cs="Times New Roman" w:eastAsia="Times New Roman" w:hAnsi="Times New Roman"/>
                <w:sz w:val="13"/>
                <w:szCs w:val="13"/>
                <w:b w:val="1"/>
                <w:bCs w:val="1"/>
                <w:color w:val="auto"/>
                <w:w w:val="95"/>
              </w:rPr>
              <w:t>Tradeweb Markets Inc. Stockholders’ Equity</w:t>
            </w: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120" w:type="dxa"/>
            <w:vAlign w:val="bottom"/>
          </w:tcPr>
          <w:p>
            <w:pPr>
              <w:spacing w:after="0"/>
              <w:rPr>
                <w:sz w:val="9"/>
                <w:szCs w:val="9"/>
                <w:color w:val="auto"/>
              </w:rPr>
            </w:pPr>
          </w:p>
        </w:tc>
        <w:tc>
          <w:tcPr>
            <w:tcW w:w="7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C</w:t>
            </w:r>
          </w:p>
        </w:tc>
        <w:tc>
          <w:tcPr>
            <w:tcW w:w="100" w:type="dxa"/>
            <w:vAlign w:val="bottom"/>
          </w:tcPr>
          <w:p>
            <w:pPr>
              <w:spacing w:after="0"/>
              <w:rPr>
                <w:sz w:val="9"/>
                <w:szCs w:val="9"/>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Class D</w:t>
            </w:r>
          </w:p>
        </w:tc>
        <w:tc>
          <w:tcPr>
            <w:tcW w:w="120" w:type="dxa"/>
            <w:vAlign w:val="bottom"/>
          </w:tcPr>
          <w:p>
            <w:pPr>
              <w:spacing w:after="0"/>
              <w:rPr>
                <w:sz w:val="9"/>
                <w:szCs w:val="9"/>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9"/>
                <w:szCs w:val="9"/>
                <w:color w:val="auto"/>
              </w:rPr>
            </w:pPr>
          </w:p>
        </w:tc>
        <w:tc>
          <w:tcPr>
            <w:tcW w:w="104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7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0"/>
                <w:szCs w:val="10"/>
                <w:color w:val="auto"/>
              </w:rPr>
            </w:pPr>
          </w:p>
        </w:tc>
        <w:tc>
          <w:tcPr>
            <w:tcW w:w="7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2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4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4"/>
                <w:szCs w:val="14"/>
                <w:color w:val="auto"/>
              </w:rPr>
            </w:pPr>
          </w:p>
        </w:tc>
        <w:tc>
          <w:tcPr>
            <w:tcW w:w="7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4,813,408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996,763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598,693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6,398,885</w:t>
            </w:r>
          </w:p>
        </w:tc>
        <w:tc>
          <w:tcPr>
            <w:tcW w:w="0" w:type="dxa"/>
            <w:vAlign w:val="bottom"/>
          </w:tcPr>
          <w:p>
            <w:pPr>
              <w:spacing w:after="0"/>
              <w:rPr>
                <w:sz w:val="1"/>
                <w:szCs w:val="1"/>
                <w:color w:val="auto"/>
              </w:rPr>
            </w:pPr>
          </w:p>
        </w:tc>
      </w:tr>
      <w:tr>
        <w:trPr>
          <w:trHeight w:val="139"/>
        </w:trPr>
        <w:tc>
          <w:tcPr>
            <w:tcW w:w="3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28,830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28,830</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(7,416)</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($0.12 per share)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(25,573)</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22,708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22,708</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(47,590)</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168,305</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9,056</w:t>
            </w: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4,821,151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1,119,572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608,291</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6,547,205</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080" w:type="dxa"/>
            <w:vAlign w:val="bottom"/>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Tax receivable agreement liability and deferred</w:t>
            </w: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(5,112)</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($0.12 per share)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(25,606)</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27,779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27,779</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175,522</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9,884</w:t>
            </w:r>
          </w:p>
        </w:tc>
        <w:tc>
          <w:tcPr>
            <w:tcW w:w="0" w:type="dxa"/>
            <w:vAlign w:val="bottom"/>
          </w:tcPr>
          <w:p>
            <w:pPr>
              <w:spacing w:after="0"/>
              <w:rPr>
                <w:sz w:val="1"/>
                <w:szCs w:val="1"/>
                <w:color w:val="auto"/>
              </w:rPr>
            </w:pPr>
          </w:p>
        </w:tc>
      </w:tr>
      <w:tr>
        <w:trPr>
          <w:trHeight w:val="200"/>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4,842,990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1,247,748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628,505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6,726,276</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line="127" w:lineRule="exact"/>
              <w:rPr>
                <w:sz w:val="20"/>
                <w:szCs w:val="20"/>
                <w:color w:val="auto"/>
              </w:rPr>
            </w:pPr>
            <w:r>
              <w:rPr>
                <w:rFonts w:ascii="Times New Roman" w:cs="Times New Roman" w:eastAsia="Times New Roman" w:hAnsi="Times New Roman"/>
                <w:sz w:val="14"/>
                <w:szCs w:val="14"/>
                <w:color w:val="auto"/>
              </w:rPr>
              <w:t>Tax receivable agreement liability and deferred</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0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taxes arising from LLC Interest ownership</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exchanges and the issuance of common stock from</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incentive plans</w:t>
            </w: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non-controlling interests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($0.12 per share)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(25,609)</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26,865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26,865</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0" w:type="dxa"/>
            <w:vAlign w:val="bottom"/>
          </w:tcPr>
          <w:p>
            <w:pPr>
              <w:spacing w:after="0"/>
              <w:rPr>
                <w:sz w:val="1"/>
                <w:szCs w:val="1"/>
                <w:color w:val="auto"/>
              </w:rPr>
            </w:pPr>
          </w:p>
        </w:tc>
      </w:tr>
      <w:tr>
        <w:trPr>
          <w:trHeight w:val="195"/>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210,549</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4,865,172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1,407,775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654,265</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6,934,963</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664,758</w:t>
            </w:r>
          </w:p>
        </w:tc>
        <w:tc>
          <w:tcPr>
            <w:tcW w:w="8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554,376</w:t>
            </w:r>
          </w:p>
        </w:tc>
      </w:tr>
      <w:tr>
        <w:trPr>
          <w:trHeight w:val="217"/>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184,515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190,098</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81,242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75,232</w:t>
            </w:r>
          </w:p>
        </w:tc>
      </w:tr>
      <w:tr>
        <w:trPr>
          <w:trHeight w:val="206"/>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Digital assets received as revenue</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(4,372)</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58,852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23,619</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(income) loss,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(24,864)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(56,306)</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Receivable from/payable to brokers and dealers and clearing organizations,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(41,091)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(11,989)</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(10,002)</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(71,042)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(43,672)</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Receivable and due from related parties/payable and due to related parties,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22,081</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tax asset as a result of transferable tax credit purchase</w:t>
            </w:r>
          </w:p>
        </w:tc>
        <w:tc>
          <w:tcPr>
            <w:tcW w:w="32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17,646</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(17,377)</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operating liabilities: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(32,359)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(14,946)</w:t>
            </w:r>
          </w:p>
        </w:tc>
      </w:tr>
      <w:tr>
        <w:trPr>
          <w:trHeight w:val="195"/>
        </w:trPr>
        <w:tc>
          <w:tcPr>
            <w:tcW w:w="8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5,233</w:t>
            </w:r>
          </w:p>
        </w:tc>
      </w:tr>
      <w:tr>
        <w:trPr>
          <w:trHeight w:val="21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35,075</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82,076</w:t>
            </w:r>
          </w:p>
        </w:tc>
      </w:tr>
      <w:tr>
        <w:trPr>
          <w:trHeight w:val="186"/>
        </w:trPr>
        <w:tc>
          <w:tcPr>
            <w:tcW w:w="8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845,255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811,697</w:t>
            </w:r>
          </w:p>
        </w:tc>
      </w:tr>
      <w:tr>
        <w:trPr>
          <w:trHeight w:val="23"/>
        </w:trPr>
        <w:tc>
          <w:tcPr>
            <w:tcW w:w="8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investments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(76,891)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(38,440)</w:t>
            </w:r>
          </w:p>
        </w:tc>
      </w:tr>
      <w:tr>
        <w:trPr>
          <w:trHeight w:val="217"/>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received from sale of digital assets</w:t>
            </w: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furniture, equipment, software and leasehold improvements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(21,141)</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(56,278)</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(47,144)</w:t>
            </w:r>
          </w:p>
        </w:tc>
      </w:tr>
      <w:tr>
        <w:trPr>
          <w:trHeight w:val="190"/>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(160,404)</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(91,725)</w:t>
            </w:r>
          </w:p>
        </w:tc>
      </w:tr>
      <w:tr>
        <w:trPr>
          <w:trHeight w:val="18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6"/>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 repurchases pursuant to share repurchase programs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(447,305)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stock-based compensation exercises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(88,924)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(76,788)</w:t>
            </w:r>
          </w:p>
        </w:tc>
      </w:tr>
      <w:tr>
        <w:trPr>
          <w:trHeight w:val="21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(14,158)</w:t>
            </w:r>
          </w:p>
        </w:tc>
      </w:tr>
      <w:tr>
        <w:trPr>
          <w:trHeight w:val="206"/>
        </w:trPr>
        <w:tc>
          <w:tcPr>
            <w:tcW w:w="8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Payroll taxes paid for stock-based compensation</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(86,031)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(48,985)</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3"/>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on tax receivable agreement liability</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(19,024)</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(21,437)</w:t>
            </w:r>
          </w:p>
        </w:tc>
      </w:tr>
      <w:tr>
        <w:trPr>
          <w:trHeight w:val="190"/>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(652,410)</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(162,212)</w:t>
            </w:r>
          </w:p>
        </w:tc>
      </w:tr>
      <w:tr>
        <w:trPr>
          <w:trHeight w:val="216"/>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9,860</w:t>
            </w:r>
          </w:p>
        </w:tc>
      </w:tr>
      <w:tr>
        <w:trPr>
          <w:trHeight w:val="186"/>
        </w:trPr>
        <w:tc>
          <w:tcPr>
            <w:tcW w:w="84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30,156</w:t>
            </w: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567,620</w:t>
            </w:r>
          </w:p>
        </w:tc>
      </w:tr>
      <w:tr>
        <w:trPr>
          <w:trHeight w:val="23"/>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0"/>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196"/>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Beginning of period</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2,085,739</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1,341,302</w:t>
            </w:r>
          </w:p>
        </w:tc>
      </w:tr>
      <w:tr>
        <w:trPr>
          <w:trHeight w:val="22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2,115,895</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1,908,922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 - (Continued)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4"/>
          </w:tcPr>
          <w:p>
            <w:pPr>
              <w:jc w:val="right"/>
              <w:ind w:right="70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8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gridSpan w:val="4"/>
          </w:tcPr>
          <w:p>
            <w:pPr>
              <w:jc w:val="right"/>
              <w:ind w:right="887"/>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3"/>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06"/>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taxes paid, net of (refunds)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135,922</w:t>
            </w:r>
          </w:p>
        </w:tc>
        <w:tc>
          <w:tcPr>
            <w:tcW w:w="8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43,517</w:t>
            </w:r>
          </w:p>
        </w:tc>
      </w:tr>
      <w:tr>
        <w:trPr>
          <w:trHeight w:val="23"/>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9"/>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r>
      <w:tr>
        <w:trPr>
          <w:trHeight w:val="196"/>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6"/>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 received upon conversion of receivables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78,370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r>
      <w:tr>
        <w:trPr>
          <w:trHeight w:val="206"/>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Furniture, equipment, software and leasehold improvement additions included in 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8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10,189</w:t>
            </w:r>
          </w:p>
        </w:tc>
      </w:tr>
      <w:tr>
        <w:trPr>
          <w:trHeight w:val="23"/>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9"/>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 obtained in exchange for lease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11,374</w:t>
            </w:r>
          </w:p>
        </w:tc>
      </w:tr>
      <w:tr>
        <w:trPr>
          <w:trHeight w:val="206"/>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Unsettled share repurchases and excise tax included in other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8,454</w:t>
            </w:r>
          </w:p>
        </w:tc>
        <w:tc>
          <w:tcPr>
            <w:tcW w:w="80" w:type="dxa"/>
            <w:vAlign w:val="bottom"/>
          </w:tcPr>
          <w:p>
            <w:pPr>
              <w:spacing w:after="0"/>
              <w:rPr>
                <w:sz w:val="17"/>
                <w:szCs w:val="17"/>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9"/>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Items arising from LLC Interest ownership changes:</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195"/>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Establishment of liabilities under tax receivable agreement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asset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24,268</w:t>
            </w:r>
          </w:p>
        </w:tc>
      </w:tr>
      <w:tr>
        <w:trPr>
          <w:trHeight w:val="395"/>
        </w:trPr>
        <w:tc>
          <w:tcPr>
            <w:tcW w:w="8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24"/>
                <w:szCs w:val="24"/>
                <w:color w:val="auto"/>
              </w:rPr>
            </w:pPr>
          </w:p>
        </w:tc>
        <w:tc>
          <w:tcPr>
            <w:tcW w:w="1160" w:type="dxa"/>
            <w:vAlign w:val="bottom"/>
          </w:tcPr>
          <w:p>
            <w:pPr>
              <w:jc w:val="right"/>
              <w:ind w:right="18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tc>
        <w:tc>
          <w:tcPr>
            <w:tcW w:w="160" w:type="dxa"/>
            <w:vAlign w:val="bottom"/>
          </w:tcPr>
          <w:p>
            <w:pPr>
              <w:spacing w:after="0"/>
              <w:rPr>
                <w:sz w:val="17"/>
                <w:szCs w:val="17"/>
                <w:color w:val="auto"/>
              </w:rPr>
            </w:pPr>
          </w:p>
        </w:tc>
        <w:tc>
          <w:tcPr>
            <w:tcW w:w="12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6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2,114,895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2,084,739</w:t>
            </w:r>
          </w:p>
        </w:tc>
      </w:tr>
      <w:tr>
        <w:trPr>
          <w:trHeight w:val="196"/>
        </w:trPr>
        <w:tc>
          <w:tcPr>
            <w:tcW w:w="8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221"/>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2,115,895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2,085,739</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3051F2"/>
                <w:w w:val="98"/>
              </w:rPr>
              <w:t>Note 1</w:t>
            </w:r>
          </w:p>
        </w:tc>
        <w:tc>
          <w:tcPr>
            <w:tcW w:w="80" w:type="dxa"/>
            <w:vAlign w:val="bottom"/>
          </w:tcPr>
          <w:p>
            <w:pPr>
              <w:spacing w:after="0"/>
              <w:rPr>
                <w:sz w:val="17"/>
                <w:szCs w:val="17"/>
                <w:color w:val="auto"/>
              </w:rPr>
            </w:pPr>
          </w:p>
        </w:tc>
        <w:tc>
          <w:tcPr>
            <w:tcW w:w="4760" w:type="dxa"/>
            <w:vAlign w:val="bottom"/>
            <w:gridSpan w:val="17"/>
          </w:tcPr>
          <w:p>
            <w:pPr>
              <w:ind w:left="280"/>
              <w:spacing w:after="0" w:line="196" w:lineRule="exact"/>
              <w:rPr>
                <w:sz w:val="20"/>
                <w:szCs w:val="20"/>
                <w:color w:val="auto"/>
              </w:rPr>
            </w:pPr>
            <w:r>
              <w:rPr>
                <w:rFonts w:ascii="Times New Roman" w:cs="Times New Roman" w:eastAsia="Times New Roman" w:hAnsi="Times New Roman"/>
                <w:sz w:val="18"/>
                <w:szCs w:val="18"/>
                <w:color w:val="3051F2"/>
              </w:rPr>
              <w:t>Organization</w:t>
            </w:r>
          </w:p>
        </w:tc>
        <w:tc>
          <w:tcPr>
            <w:tcW w:w="5880" w:type="dxa"/>
            <w:vAlign w:val="bottom"/>
            <w:gridSpan w:val="2"/>
          </w:tcPr>
          <w:p>
            <w:pPr>
              <w:jc w:val="center"/>
              <w:ind w:left="4810"/>
              <w:spacing w:after="0" w:line="196" w:lineRule="exact"/>
              <w:rPr>
                <w:sz w:val="20"/>
                <w:szCs w:val="20"/>
                <w:color w:val="auto"/>
              </w:rPr>
            </w:pPr>
            <w:r>
              <w:rPr>
                <w:rFonts w:ascii="Times New Roman" w:cs="Times New Roman" w:eastAsia="Times New Roman" w:hAnsi="Times New Roman"/>
                <w:sz w:val="18"/>
                <w:szCs w:val="18"/>
                <w:color w:val="3051F2"/>
                <w:w w:val="99"/>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2</w:t>
            </w:r>
          </w:p>
        </w:tc>
        <w:tc>
          <w:tcPr>
            <w:tcW w:w="80" w:type="dxa"/>
            <w:vAlign w:val="bottom"/>
          </w:tcPr>
          <w:p>
            <w:pPr>
              <w:spacing w:after="0"/>
              <w:rPr>
                <w:sz w:val="21"/>
                <w:szCs w:val="21"/>
                <w:color w:val="auto"/>
              </w:rPr>
            </w:pPr>
          </w:p>
        </w:tc>
        <w:tc>
          <w:tcPr>
            <w:tcW w:w="4760" w:type="dxa"/>
            <w:vAlign w:val="bottom"/>
            <w:gridSpan w:val="17"/>
          </w:tcPr>
          <w:p>
            <w:pPr>
              <w:ind w:left="280"/>
              <w:spacing w:after="0"/>
              <w:rPr>
                <w:sz w:val="20"/>
                <w:szCs w:val="20"/>
                <w:color w:val="auto"/>
              </w:rPr>
            </w:pPr>
            <w:r>
              <w:rPr>
                <w:rFonts w:ascii="Times New Roman" w:cs="Times New Roman" w:eastAsia="Times New Roman" w:hAnsi="Times New Roman"/>
                <w:sz w:val="18"/>
                <w:szCs w:val="18"/>
                <w:color w:val="3051F2"/>
              </w:rPr>
              <w:t>Significant Accounting Policies</w:t>
            </w:r>
          </w:p>
        </w:tc>
        <w:tc>
          <w:tcPr>
            <w:tcW w:w="5880" w:type="dxa"/>
            <w:vAlign w:val="bottom"/>
            <w:gridSpan w:val="2"/>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3051F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180" w:type="dxa"/>
            <w:vAlign w:val="bottom"/>
            <w:gridSpan w:val="2"/>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80" w:type="dxa"/>
            <w:vAlign w:val="bottom"/>
            <w:shd w:val="clear" w:color="auto" w:fill="3051F2"/>
          </w:tcPr>
          <w:p>
            <w:pPr>
              <w:spacing w:after="0" w:line="20" w:lineRule="exact"/>
              <w:rPr>
                <w:sz w:val="1"/>
                <w:szCs w:val="1"/>
                <w:color w:val="auto"/>
              </w:rPr>
            </w:pPr>
          </w:p>
        </w:tc>
        <w:tc>
          <w:tcPr>
            <w:tcW w:w="60" w:type="dxa"/>
            <w:vAlign w:val="bottom"/>
            <w:shd w:val="clear" w:color="auto" w:fill="3051F2"/>
          </w:tcPr>
          <w:p>
            <w:pPr>
              <w:spacing w:after="0" w:line="20" w:lineRule="exact"/>
              <w:rPr>
                <w:sz w:val="1"/>
                <w:szCs w:val="1"/>
                <w:color w:val="auto"/>
              </w:rPr>
            </w:pPr>
          </w:p>
        </w:tc>
        <w:tc>
          <w:tcPr>
            <w:tcW w:w="4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3051F2"/>
                <w:w w:val="98"/>
              </w:rPr>
              <w:t>Note 3</w:t>
            </w:r>
          </w:p>
        </w:tc>
        <w:tc>
          <w:tcPr>
            <w:tcW w:w="80" w:type="dxa"/>
            <w:vAlign w:val="bottom"/>
          </w:tcPr>
          <w:p>
            <w:pPr>
              <w:spacing w:after="0"/>
              <w:rPr>
                <w:sz w:val="21"/>
                <w:szCs w:val="21"/>
                <w:color w:val="auto"/>
              </w:rPr>
            </w:pPr>
          </w:p>
        </w:tc>
        <w:tc>
          <w:tcPr>
            <w:tcW w:w="4760" w:type="dxa"/>
            <w:vAlign w:val="bottom"/>
            <w:gridSpan w:val="17"/>
          </w:tcPr>
          <w:p>
            <w:pPr>
              <w:ind w:left="280"/>
              <w:spacing w:after="0"/>
              <w:rPr>
                <w:sz w:val="20"/>
                <w:szCs w:val="20"/>
                <w:color w:val="auto"/>
              </w:rPr>
            </w:pPr>
            <w:r>
              <w:rPr>
                <w:rFonts w:ascii="Times New Roman" w:cs="Times New Roman" w:eastAsia="Times New Roman" w:hAnsi="Times New Roman"/>
                <w:sz w:val="18"/>
                <w:szCs w:val="18"/>
                <w:color w:val="3051F2"/>
              </w:rPr>
              <w:t>Restricted Cash</w:t>
            </w:r>
          </w:p>
        </w:tc>
        <w:tc>
          <w:tcPr>
            <w:tcW w:w="5880" w:type="dxa"/>
            <w:vAlign w:val="bottom"/>
            <w:gridSpan w:val="2"/>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27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8"/>
              </w:rPr>
              <w:t>Note 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Borders>
              <w:top w:val="single" w:sz="8" w:color="3051F2"/>
              <w:bottom w:val="single" w:sz="8" w:color="3051F2"/>
            </w:tcBorders>
          </w:tcPr>
          <w:p>
            <w:pPr>
              <w:spacing w:after="0"/>
              <w:rPr>
                <w:sz w:val="20"/>
                <w:szCs w:val="20"/>
                <w:color w:val="auto"/>
              </w:rPr>
            </w:pPr>
            <w:r>
              <w:rPr>
                <w:rFonts w:ascii="Times New Roman" w:cs="Times New Roman" w:eastAsia="Times New Roman" w:hAnsi="Times New Roman"/>
                <w:sz w:val="18"/>
                <w:szCs w:val="18"/>
                <w:color w:val="3051F2"/>
                <w:w w:val="95"/>
              </w:rPr>
              <w:t>Revenue</w:t>
            </w:r>
          </w:p>
        </w:tc>
        <w:tc>
          <w:tcPr>
            <w:tcW w:w="200" w:type="dxa"/>
            <w:vAlign w:val="bottom"/>
            <w:tcBorders>
              <w:top w:val="single" w:sz="8" w:color="3051F2"/>
              <w:bottom w:val="single" w:sz="8" w:color="3051F2"/>
            </w:tcBorders>
          </w:tcPr>
          <w:p>
            <w:pPr>
              <w:spacing w:after="0"/>
              <w:rPr>
                <w:sz w:val="21"/>
                <w:szCs w:val="21"/>
                <w:color w:val="auto"/>
              </w:rPr>
            </w:pPr>
          </w:p>
        </w:tc>
        <w:tc>
          <w:tcPr>
            <w:tcW w:w="180" w:type="dxa"/>
            <w:vAlign w:val="bottom"/>
            <w:tcBorders>
              <w:top w:val="single" w:sz="8" w:color="3051F2"/>
              <w:bottom w:val="single" w:sz="8" w:color="3051F2"/>
            </w:tcBorders>
            <w:gridSpan w:val="2"/>
          </w:tcPr>
          <w:p>
            <w:pPr>
              <w:spacing w:after="0"/>
              <w:rPr>
                <w:sz w:val="21"/>
                <w:szCs w:val="21"/>
                <w:color w:val="auto"/>
              </w:rPr>
            </w:pPr>
          </w:p>
        </w:tc>
        <w:tc>
          <w:tcPr>
            <w:tcW w:w="140" w:type="dxa"/>
            <w:vAlign w:val="bottom"/>
            <w:tcBorders>
              <w:top w:val="single" w:sz="8" w:color="3051F2"/>
              <w:bottom w:val="single" w:sz="8" w:color="3051F2"/>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gridSpan w:val="2"/>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80" w:type="dxa"/>
            <w:vAlign w:val="bottom"/>
            <w:gridSpan w:val="2"/>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30</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5</w:t>
            </w:r>
          </w:p>
        </w:tc>
        <w:tc>
          <w:tcPr>
            <w:tcW w:w="280" w:type="dxa"/>
            <w:vAlign w:val="bottom"/>
          </w:tcPr>
          <w:p>
            <w:pPr>
              <w:spacing w:after="0"/>
              <w:rPr>
                <w:sz w:val="18"/>
                <w:szCs w:val="18"/>
                <w:color w:val="auto"/>
              </w:rPr>
            </w:pPr>
          </w:p>
        </w:tc>
        <w:tc>
          <w:tcPr>
            <w:tcW w:w="100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8"/>
                <w:szCs w:val="18"/>
                <w:color w:val="3051F2"/>
                <w:w w:val="96"/>
              </w:rPr>
              <w:t>Income Taxes</w:t>
            </w:r>
          </w:p>
        </w:tc>
        <w:tc>
          <w:tcPr>
            <w:tcW w:w="3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30</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6</w:t>
            </w:r>
          </w:p>
        </w:tc>
        <w:tc>
          <w:tcPr>
            <w:tcW w:w="280" w:type="dxa"/>
            <w:vAlign w:val="bottom"/>
          </w:tcPr>
          <w:p>
            <w:pPr>
              <w:spacing w:after="0"/>
              <w:rPr>
                <w:sz w:val="18"/>
                <w:szCs w:val="18"/>
                <w:color w:val="auto"/>
              </w:rPr>
            </w:pPr>
          </w:p>
        </w:tc>
        <w:tc>
          <w:tcPr>
            <w:tcW w:w="196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8"/>
                <w:szCs w:val="18"/>
                <w:color w:val="3051F2"/>
                <w:w w:val="98"/>
              </w:rPr>
              <w:t>Tax Receivable Agreement</w:t>
            </w:r>
          </w:p>
        </w:tc>
        <w:tc>
          <w:tcPr>
            <w:tcW w:w="4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31</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7</w:t>
            </w:r>
          </w:p>
        </w:tc>
        <w:tc>
          <w:tcPr>
            <w:tcW w:w="280" w:type="dxa"/>
            <w:vAlign w:val="bottom"/>
          </w:tcPr>
          <w:p>
            <w:pPr>
              <w:spacing w:after="0"/>
              <w:rPr>
                <w:sz w:val="18"/>
                <w:szCs w:val="18"/>
                <w:color w:val="auto"/>
              </w:rPr>
            </w:pPr>
          </w:p>
        </w:tc>
        <w:tc>
          <w:tcPr>
            <w:tcW w:w="1860" w:type="dxa"/>
            <w:vAlign w:val="bottom"/>
            <w:tcBorders>
              <w:bottom w:val="single" w:sz="8" w:color="3051F2"/>
            </w:tcBorders>
            <w:gridSpan w:val="8"/>
          </w:tcPr>
          <w:p>
            <w:pPr>
              <w:spacing w:after="0"/>
              <w:rPr>
                <w:sz w:val="20"/>
                <w:szCs w:val="20"/>
                <w:color w:val="auto"/>
              </w:rPr>
            </w:pPr>
            <w:r>
              <w:rPr>
                <w:rFonts w:ascii="Times New Roman" w:cs="Times New Roman" w:eastAsia="Times New Roman" w:hAnsi="Times New Roman"/>
                <w:sz w:val="18"/>
                <w:szCs w:val="18"/>
                <w:color w:val="3051F2"/>
                <w:w w:val="99"/>
              </w:rPr>
              <w:t>Non-Controlling Interests</w:t>
            </w:r>
          </w:p>
        </w:tc>
        <w:tc>
          <w:tcPr>
            <w:tcW w:w="6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31</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8</w:t>
            </w:r>
          </w:p>
        </w:tc>
        <w:tc>
          <w:tcPr>
            <w:tcW w:w="280" w:type="dxa"/>
            <w:vAlign w:val="bottom"/>
          </w:tcPr>
          <w:p>
            <w:pPr>
              <w:spacing w:after="0"/>
              <w:rPr>
                <w:sz w:val="18"/>
                <w:szCs w:val="18"/>
                <w:color w:val="auto"/>
              </w:rPr>
            </w:pPr>
          </w:p>
        </w:tc>
        <w:tc>
          <w:tcPr>
            <w:tcW w:w="4300" w:type="dxa"/>
            <w:vAlign w:val="bottom"/>
            <w:tcBorders>
              <w:bottom w:val="single" w:sz="8" w:color="3051F2"/>
            </w:tcBorders>
            <w:gridSpan w:val="15"/>
          </w:tcPr>
          <w:p>
            <w:pPr>
              <w:spacing w:after="0"/>
              <w:rPr>
                <w:sz w:val="20"/>
                <w:szCs w:val="20"/>
                <w:color w:val="auto"/>
              </w:rPr>
            </w:pPr>
            <w:r>
              <w:rPr>
                <w:rFonts w:ascii="Times New Roman" w:cs="Times New Roman" w:eastAsia="Times New Roman" w:hAnsi="Times New Roman"/>
                <w:sz w:val="18"/>
                <w:szCs w:val="18"/>
                <w:color w:val="3051F2"/>
                <w:w w:val="99"/>
              </w:rPr>
              <w:t>Stockholders’ Equity and Stock-Based Compensation Plans</w:t>
            </w:r>
          </w:p>
        </w:tc>
        <w:tc>
          <w:tcPr>
            <w:tcW w:w="180" w:type="dxa"/>
            <w:vAlign w:val="bottom"/>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rPr>
              <w:t>Note 9</w:t>
            </w:r>
          </w:p>
        </w:tc>
        <w:tc>
          <w:tcPr>
            <w:tcW w:w="280" w:type="dxa"/>
            <w:vAlign w:val="bottom"/>
          </w:tcPr>
          <w:p>
            <w:pPr>
              <w:spacing w:after="0"/>
              <w:rPr>
                <w:sz w:val="18"/>
                <w:szCs w:val="18"/>
                <w:color w:val="auto"/>
              </w:rPr>
            </w:pPr>
          </w:p>
        </w:tc>
        <w:tc>
          <w:tcPr>
            <w:tcW w:w="1920" w:type="dxa"/>
            <w:vAlign w:val="bottom"/>
            <w:tcBorders>
              <w:bottom w:val="single" w:sz="8" w:color="3051F2"/>
            </w:tcBorders>
            <w:gridSpan w:val="9"/>
          </w:tcPr>
          <w:p>
            <w:pPr>
              <w:spacing w:after="0"/>
              <w:rPr>
                <w:sz w:val="20"/>
                <w:szCs w:val="20"/>
                <w:color w:val="auto"/>
              </w:rPr>
            </w:pPr>
            <w:r>
              <w:rPr>
                <w:rFonts w:ascii="Times New Roman" w:cs="Times New Roman" w:eastAsia="Times New Roman" w:hAnsi="Times New Roman"/>
                <w:sz w:val="18"/>
                <w:szCs w:val="18"/>
                <w:color w:val="3051F2"/>
                <w:w w:val="97"/>
              </w:rPr>
              <w:t>Related Party Transactions</w:t>
            </w:r>
          </w:p>
        </w:tc>
        <w:tc>
          <w:tcPr>
            <w:tcW w:w="480" w:type="dxa"/>
            <w:vAlign w:val="bottom"/>
            <w:gridSpan w:val="3"/>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36</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10</w:t>
            </w:r>
          </w:p>
        </w:tc>
        <w:tc>
          <w:tcPr>
            <w:tcW w:w="280" w:type="dxa"/>
            <w:vAlign w:val="bottom"/>
          </w:tcPr>
          <w:p>
            <w:pPr>
              <w:spacing w:after="0"/>
              <w:rPr>
                <w:sz w:val="18"/>
                <w:szCs w:val="18"/>
                <w:color w:val="auto"/>
              </w:rPr>
            </w:pPr>
          </w:p>
        </w:tc>
        <w:tc>
          <w:tcPr>
            <w:tcW w:w="382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8"/>
              </w:rPr>
              <w:t>Fair Value of Financial Instruments and Other Assets</w:t>
            </w:r>
          </w:p>
        </w:tc>
        <w:tc>
          <w:tcPr>
            <w:tcW w:w="660" w:type="dxa"/>
            <w:vAlign w:val="bottom"/>
            <w:gridSpan w:val="2"/>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42</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11</w:t>
            </w:r>
          </w:p>
        </w:tc>
        <w:tc>
          <w:tcPr>
            <w:tcW w:w="280" w:type="dxa"/>
            <w:vAlign w:val="bottom"/>
          </w:tcPr>
          <w:p>
            <w:pPr>
              <w:spacing w:after="0"/>
              <w:rPr>
                <w:sz w:val="18"/>
                <w:szCs w:val="18"/>
                <w:color w:val="auto"/>
              </w:rPr>
            </w:pPr>
          </w:p>
        </w:tc>
        <w:tc>
          <w:tcPr>
            <w:tcW w:w="820" w:type="dxa"/>
            <w:vAlign w:val="bottom"/>
            <w:tcBorders>
              <w:bottom w:val="single" w:sz="8" w:color="3051F2"/>
            </w:tcBorders>
            <w:gridSpan w:val="2"/>
          </w:tcPr>
          <w:p>
            <w:pPr>
              <w:spacing w:after="0"/>
              <w:rPr>
                <w:sz w:val="20"/>
                <w:szCs w:val="20"/>
                <w:color w:val="auto"/>
              </w:rPr>
            </w:pPr>
            <w:r>
              <w:rPr>
                <w:rFonts w:ascii="Times New Roman" w:cs="Times New Roman" w:eastAsia="Times New Roman" w:hAnsi="Times New Roman"/>
                <w:sz w:val="18"/>
                <w:szCs w:val="18"/>
                <w:color w:val="3051F2"/>
                <w:w w:val="96"/>
              </w:rPr>
              <w:t>Credit Risk</w:t>
            </w:r>
          </w:p>
        </w:tc>
        <w:tc>
          <w:tcPr>
            <w:tcW w:w="54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5"/>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3051F2"/>
            </w:tcBorders>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43</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12</w:t>
            </w:r>
          </w:p>
        </w:tc>
        <w:tc>
          <w:tcPr>
            <w:tcW w:w="280" w:type="dxa"/>
            <w:vAlign w:val="bottom"/>
          </w:tcPr>
          <w:p>
            <w:pPr>
              <w:spacing w:after="0"/>
              <w:rPr>
                <w:sz w:val="18"/>
                <w:szCs w:val="18"/>
                <w:color w:val="auto"/>
              </w:rPr>
            </w:pPr>
          </w:p>
        </w:tc>
        <w:tc>
          <w:tcPr>
            <w:tcW w:w="240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18"/>
                <w:szCs w:val="18"/>
                <w:color w:val="3051F2"/>
                <w:w w:val="99"/>
              </w:rPr>
              <w:t>Commitments and Contingencies</w:t>
            </w:r>
          </w:p>
        </w:tc>
        <w:tc>
          <w:tcPr>
            <w:tcW w:w="100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45</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13</w:t>
            </w:r>
          </w:p>
        </w:tc>
        <w:tc>
          <w:tcPr>
            <w:tcW w:w="280" w:type="dxa"/>
            <w:vAlign w:val="bottom"/>
          </w:tcPr>
          <w:p>
            <w:pPr>
              <w:spacing w:after="0"/>
              <w:rPr>
                <w:sz w:val="18"/>
                <w:szCs w:val="18"/>
                <w:color w:val="auto"/>
              </w:rPr>
            </w:pPr>
          </w:p>
        </w:tc>
        <w:tc>
          <w:tcPr>
            <w:tcW w:w="1380" w:type="dxa"/>
            <w:vAlign w:val="bottom"/>
            <w:tcBorders>
              <w:bottom w:val="single" w:sz="8" w:color="3051F2"/>
            </w:tcBorders>
            <w:gridSpan w:val="7"/>
          </w:tcPr>
          <w:p>
            <w:pPr>
              <w:spacing w:after="0"/>
              <w:rPr>
                <w:sz w:val="20"/>
                <w:szCs w:val="20"/>
                <w:color w:val="auto"/>
              </w:rPr>
            </w:pPr>
            <w:r>
              <w:rPr>
                <w:rFonts w:ascii="Times New Roman" w:cs="Times New Roman" w:eastAsia="Times New Roman" w:hAnsi="Times New Roman"/>
                <w:sz w:val="18"/>
                <w:szCs w:val="18"/>
                <w:color w:val="3051F2"/>
                <w:w w:val="98"/>
              </w:rPr>
              <w:t>Earnings Per Share</w:t>
            </w:r>
          </w:p>
        </w:tc>
        <w:tc>
          <w:tcPr>
            <w:tcW w:w="1020" w:type="dxa"/>
            <w:vAlign w:val="bottom"/>
            <w:gridSpan w:val="5"/>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46</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14</w:t>
            </w:r>
          </w:p>
        </w:tc>
        <w:tc>
          <w:tcPr>
            <w:tcW w:w="280" w:type="dxa"/>
            <w:vAlign w:val="bottom"/>
          </w:tcPr>
          <w:p>
            <w:pPr>
              <w:spacing w:after="0"/>
              <w:rPr>
                <w:sz w:val="18"/>
                <w:szCs w:val="18"/>
                <w:color w:val="auto"/>
              </w:rPr>
            </w:pPr>
          </w:p>
        </w:tc>
        <w:tc>
          <w:tcPr>
            <w:tcW w:w="2400" w:type="dxa"/>
            <w:vAlign w:val="bottom"/>
            <w:tcBorders>
              <w:bottom w:val="single" w:sz="8" w:color="3051F2"/>
            </w:tcBorders>
            <w:gridSpan w:val="12"/>
          </w:tcPr>
          <w:p>
            <w:pPr>
              <w:spacing w:after="0"/>
              <w:rPr>
                <w:sz w:val="20"/>
                <w:szCs w:val="20"/>
                <w:color w:val="auto"/>
              </w:rPr>
            </w:pPr>
            <w:r>
              <w:rPr>
                <w:rFonts w:ascii="Times New Roman" w:cs="Times New Roman" w:eastAsia="Times New Roman" w:hAnsi="Times New Roman"/>
                <w:sz w:val="18"/>
                <w:szCs w:val="18"/>
                <w:color w:val="3051F2"/>
                <w:w w:val="98"/>
              </w:rPr>
              <w:t>Regulatory Capital Requirements</w:t>
            </w:r>
          </w:p>
        </w:tc>
        <w:tc>
          <w:tcPr>
            <w:tcW w:w="100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46</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15</w:t>
            </w:r>
          </w:p>
        </w:tc>
        <w:tc>
          <w:tcPr>
            <w:tcW w:w="280" w:type="dxa"/>
            <w:vAlign w:val="bottom"/>
          </w:tcPr>
          <w:p>
            <w:pPr>
              <w:spacing w:after="0"/>
              <w:rPr>
                <w:sz w:val="18"/>
                <w:szCs w:val="18"/>
                <w:color w:val="auto"/>
              </w:rPr>
            </w:pPr>
          </w:p>
        </w:tc>
        <w:tc>
          <w:tcPr>
            <w:tcW w:w="3400" w:type="dxa"/>
            <w:vAlign w:val="bottom"/>
            <w:tcBorders>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Business Segment and Geographic Information</w:t>
            </w:r>
          </w:p>
        </w:tc>
        <w:tc>
          <w:tcPr>
            <w:tcW w:w="1080" w:type="dxa"/>
            <w:vAlign w:val="bottom"/>
            <w:gridSpan w:val="3"/>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gridSpan w:val="2"/>
            <w:vMerge w:val="restart"/>
          </w:tcPr>
          <w:p>
            <w:pPr>
              <w:jc w:val="center"/>
              <w:ind w:left="4810"/>
              <w:spacing w:after="0"/>
              <w:rPr>
                <w:sz w:val="20"/>
                <w:szCs w:val="20"/>
                <w:color w:val="auto"/>
              </w:rPr>
            </w:pPr>
            <w:r>
              <w:rPr>
                <w:rFonts w:ascii="Times New Roman" w:cs="Times New Roman" w:eastAsia="Times New Roman" w:hAnsi="Times New Roman"/>
                <w:sz w:val="18"/>
                <w:szCs w:val="18"/>
                <w:color w:val="3051F2"/>
                <w:w w:val="99"/>
              </w:rPr>
              <w:t>48</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3051F2"/>
                <w:w w:val="97"/>
              </w:rPr>
              <w:t>Note 16</w:t>
            </w:r>
          </w:p>
        </w:tc>
        <w:tc>
          <w:tcPr>
            <w:tcW w:w="280" w:type="dxa"/>
            <w:vAlign w:val="bottom"/>
          </w:tcPr>
          <w:p>
            <w:pPr>
              <w:spacing w:after="0"/>
              <w:rPr>
                <w:sz w:val="18"/>
                <w:szCs w:val="18"/>
                <w:color w:val="auto"/>
              </w:rPr>
            </w:pPr>
          </w:p>
        </w:tc>
        <w:tc>
          <w:tcPr>
            <w:tcW w:w="136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8"/>
                <w:szCs w:val="18"/>
                <w:color w:val="3051F2"/>
                <w:w w:val="98"/>
              </w:rPr>
              <w:t>Subsequent Events</w:t>
            </w:r>
          </w:p>
        </w:tc>
        <w:tc>
          <w:tcPr>
            <w:tcW w:w="3120" w:type="dxa"/>
            <w:vAlign w:val="bottom"/>
            <w:gridSpan w:val="10"/>
          </w:tcPr>
          <w:p>
            <w:pPr>
              <w:spacing w:after="0"/>
              <w:rPr>
                <w:sz w:val="18"/>
                <w:szCs w:val="18"/>
                <w:color w:val="auto"/>
              </w:rPr>
            </w:pPr>
          </w:p>
        </w:tc>
        <w:tc>
          <w:tcPr>
            <w:tcW w:w="5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3051F2"/>
            </w:tcBorders>
          </w:tcPr>
          <w:p>
            <w:pPr>
              <w:spacing w:after="0" w:line="20" w:lineRule="exact"/>
              <w:rPr>
                <w:sz w:val="1"/>
                <w:szCs w:val="1"/>
                <w:color w:val="auto"/>
              </w:rPr>
            </w:pPr>
          </w:p>
        </w:tc>
        <w:tc>
          <w:tcPr>
            <w:tcW w:w="80" w:type="dxa"/>
            <w:vAlign w:val="bottom"/>
            <w:tcBorders>
              <w:bottom w:val="single" w:sz="8" w:color="3051F2"/>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00" w:type="dxa"/>
            <w:vAlign w:val="bottom"/>
            <w:vMerge w:val="restart"/>
          </w:tcPr>
          <w:p>
            <w:pPr>
              <w:jc w:val="right"/>
              <w:ind w:right="4450"/>
              <w:spacing w:after="0"/>
              <w:rPr>
                <w:sz w:val="20"/>
                <w:szCs w:val="20"/>
                <w:color w:val="auto"/>
              </w:rPr>
            </w:pPr>
            <w:r>
              <w:rPr>
                <w:rFonts w:ascii="Times New Roman" w:cs="Times New Roman" w:eastAsia="Times New Roman" w:hAnsi="Times New Roman"/>
                <w:sz w:val="18"/>
                <w:szCs w:val="18"/>
                <w:color w:val="auto"/>
              </w:rPr>
              <w:t>15</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Tradeweb Markets Inc. and Subsidiaries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16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Tradeweb Markets Inc. (the “Corporation”) was incorporated as a Delaware corporation on November 7, 2018 to carry on the business of Tradeweb Markets LLC (“TWM LLC”) following the completion of a series of reorganization transactions on April 4, 2019 (the “Reorganization Transactions”), in connection with Tradeweb Markets Inc.’s initial public offering (the “IPO”), which closed on April 8, 2019. Following the Reorganization Transactions, Refinitiv (as defined below) owned an indirect majority ownership interest in the Company (as defined below).</w:t>
      </w:r>
    </w:p>
    <w:p>
      <w:pPr>
        <w:spacing w:after="0" w:line="13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January 29, 2021, London Stock Exchange Group plc (“LSEG”) completed its acquisition of the Refinitiv business from a consortium, including certain investment funds affiliated with Blackstone Inc. (“Blackstone”) as well as Thomson Reuters Corporation (“TR”), in an all share transaction (the “LSEG Transaction”).</w:t>
      </w:r>
    </w:p>
    <w:p>
      <w:pPr>
        <w:spacing w:after="0" w:line="170"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In connection with the LSEG Transaction, the Corporation became a consolidating subsidiary of LSEG. Prior to the LSEG Transaction, the Corporation was a consolidating subsidiary of BCP York Holdings (“BCP”), a company owned by certain investment funds affiliated with Blackstone, through BCP’s previous majority ownership interest in Refinitiv. As used herein, “Refinitiv,” prior to the LSEG Transaction, means Refinitiv Holdings Limited, and unless otherwise stated or the context otherwise requires, all of its direct and indirect subsidiaries, and subsequent to the LSEG Transaction, refers to Refinitiv Parent Limited, and unless otherwise stated or the context otherwise requires, all of its subsidiaries. Refinitiv owns substantially all of the former financial and risk business of Thomson Reuters (as defined below), including, prior to and following the completion of the Reorganization Transactions, an indirect majority ownership interest in the Company. The Refinitiv business was rebranded by LSEG as LSEG Data &amp; Analytics during the fourth quarter of 2023.</w:t>
      </w:r>
    </w:p>
    <w:p>
      <w:pPr>
        <w:spacing w:after="0" w:line="1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Corporation is a holding company whose principal asset is LLC Interests (as defined below) of TWM LLC. As the sole manager of TWM LLC, the Corporation operates and controls all of the business and affairs of TWM LLC and, through TWM LLC and its subsidiaries, conducts the Corporation’s business. As a result of this control, and because the Corporation has a substantial financial interest in TWM LLC, the Corporation consolidates the financial results of TWM LLC and reports a non-controlling interest in the Corporation’s condensed consolidated financial statements. As of September 30, 2026 and December 31, 2025, Tradeweb Markets Inc. owned 90.1% and 90.2%, respectively, of TWM LLC and the non-controlling interest holders owned the remaining 9.9% and 9.8%, respectively, of TWM LLC. References to LLC Interests held by Tradeweb Markets Inc. and comparable terminology refer to LLC Interests held by Tradeweb Markets Inc. directly as well as indirectly through direct, wholly-owned subsidiaries of Tradeweb Markets Inc. (which are holding companies with no independent operations).</w:t>
      </w:r>
    </w:p>
    <w:p>
      <w:pPr>
        <w:spacing w:after="0" w:line="15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to the “Company” refer to Tradeweb Markets Inc. and its consolidated subsidiaries, including TWM LLC, following the completion of the Reorganization Transactions, and TWM LLC and its consolidated subsidiaries prior to the completion of the Reorganization Transactions.</w:t>
      </w:r>
    </w:p>
    <w:p>
      <w:pPr>
        <w:spacing w:after="0" w:line="14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 majority interest of Refinitiv (formerly the Thomson Reuters Financial &amp; Risk Business) was acquired by BCP on October 1, 2018 (the “Refinitiv Transaction”) from TR. The Refinitiv Transaction resulted in a new basis of accounting for certain of the Company’s assets and liabilities beginning on October 1, 2018. See Note 2 – Significant Accounting Policies for a description of pushdown accounting applied as a result of the Refinitiv Transaction.</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Reorganization Transactions, TWM LLC’s limited liability company agreement (the “TWM LLC Agreement”) was amended and restated to, among other things, (i) provide for a new single class of common membership interests in TWM LLC (the “LLC Interests”), (ii) exchange all of the then existing membership interests in TWM LLC for LLC Interests and (iii) appoint the Corporation as the sole manager of TWM LLC. LLC Interests, other than those held by the Corporation, are redeemable or exchangeable in accordance with the TWM LLC Agreement for shares of Class A common stock, par value $0.00001 per share, of the Corporation (the “Class A common stock”) or Class B common stock, par value $0.00001 per share, of the Corporation (the “Class B common stock”), as the case may be, on a one-for-one basis.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7"/>
          <w:szCs w:val="17"/>
          <w:color w:val="auto"/>
        </w:rPr>
        <w:t>As used herein, references to “Continuing LLC Owners” refer collectively to (i) those owners of TWM LLC prior to the Reorganization Transactions (the “Original LLC Owners”), including an indirect subsidiary of Refinitiv, certain investment and commercial banks (collectively, the “Bank Stockholders”), and members of management, that continued to own LLC Interests after the completion of the IPO and Reorganization Transactions and that received shares of Class C common stock, par value $0.00001 per share, of the Corporation (the “Class C common stock”), shares of Class D common stock, par value $0.00001 per share, of the Corporation (the “Class D common stock”) or a combination of both, as the case may be, in connection with the completion of the Reorganization Transactions, (ii) any subsequent transferee of any Original LLC Owner that has executed a joinder agreement to the TWM LLC Agreement and (iii) solely with respect to the Tax Receivable Agreement (as defined in Note 6 – Tax Receivable Agreement), (x) those Original LLC Owners, including certain of the Bank Stockholders, that disposed of all of their LLC Interests for cash in connection with the IPO and (y) any party that has executed a joinder agreement to the Tax Receivable Agreement in accordance with the Tax Receivable Agreement.</w:t>
      </w:r>
    </w:p>
    <w:p>
      <w:pPr>
        <w:spacing w:after="0" w:line="14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is a leader in building and operating electronic marketplaces for a global network of clients across the institutional, wholesale, retail and corporates client sectors. The Company’s principal subsidiaries include:</w:t>
      </w:r>
    </w:p>
    <w:p>
      <w:pPr>
        <w:spacing w:after="0" w:line="121" w:lineRule="exact"/>
        <w:rPr>
          <w:sz w:val="20"/>
          <w:szCs w:val="20"/>
          <w:color w:val="auto"/>
        </w:rPr>
      </w:pPr>
    </w:p>
    <w:p>
      <w:pPr>
        <w:ind w:left="660" w:right="1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LLC (“TWL”), a registered broker-dealer under the Securities Exchange Act of 1934, as amended (the “Exchange Act”), a member of the Financial Industry Regulatory Authority (“FINRA”), a member of the Municipal Securities Rulemaking Board (“MSRB”), a registered independent introducing broker with the Commodities Future Trading Commission (“CFTC”) and a member of the National Futures Association (“NFA”).</w:t>
      </w:r>
    </w:p>
    <w:p>
      <w:pPr>
        <w:spacing w:after="0" w:line="139"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Dealerweb LLC (“DW”) (formerly known as Hilliard Farber &amp; Co., Inc. and Dealerweb Inc.), a registered broker-dealer under the Exchange Act and a member of FINRA and MSRB. DW is also registered as an introducing broker with the CFTC and a member of the NFA.</w:t>
      </w:r>
    </w:p>
    <w:p>
      <w:pPr>
        <w:spacing w:after="0" w:line="13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Direct LLC (“TWD”) (formerly known as BondDesk Trading LLC), a registered broker-dealer under the Exchange Act and a member of FINRA and MSRB.</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Cash Distributors LLC (“ICDLC”), acquired on August 1, 2024, a registered broker-dealer under the Exchange Act and a member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FINRA.</w:t>
      </w:r>
    </w:p>
    <w:p>
      <w:pPr>
        <w:spacing w:after="0" w:line="16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Europe Limited (“TEL”), a MiFID Investment Firm regulated by the Financial Conduct Authority (the “FCA”) in the UK and certain other global regulators and that maintains branches in Hong Kong and Singapore.</w:t>
      </w:r>
    </w:p>
    <w:p>
      <w:pPr>
        <w:spacing w:after="0" w:line="134"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 SEF LLC (“TW SEF”), a Swap Execution Facility (“SEF”) regulated by the CFTC and certain other global regulators and a registered security-based swap execution facility (“SBSEF”) under the Exchange Act.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 SEF LLC (“DW SEF”), a SEF regulated by the CFTC and certain other global regulators.</w:t>
      </w:r>
    </w:p>
    <w:p>
      <w:pPr>
        <w:spacing w:after="0" w:line="184"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Japan K.K. (“TWJ”), a security house regulated by the Japanese Financial Services Agency (“JFSA”) and the Japan Securities Dealers Association (“JSDA”).</w:t>
      </w:r>
    </w:p>
    <w:p>
      <w:pPr>
        <w:spacing w:after="0" w:line="134"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EU B.V. (“TWEU”), a MiFID Investment Firm regulated by the Netherlands Authority for the Financial Markets (“AFM”), the De Nederlandsche Bank (“DNB”) and certain other global regulators and that maintains branches in France and Italy.</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Limited (“TESL”), an Investment Firm (“BIPRU Firm”) regulated by the FCA in the UK with an exemption from the Australian Securities &amp; Investments Commission (“ASIC”) from having to hold an Australian financial services license.</w:t>
      </w:r>
    </w:p>
    <w:p>
      <w:pPr>
        <w:spacing w:after="0" w:line="12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Information Technology Services (Shanghai) Co., Ltd., a wholly-owned foreign enterprise (“WOFE”) in China. Its business scope includes information, data and technology related services including development, sales, import and export and consulting. The Tradeweb offshore electronic trading platform is recognized by the People’s Bank of China (“PBOC”) for the provision of Bond Connect, CIBM Direct RFQ and Swap Connect.</w:t>
      </w:r>
    </w:p>
    <w:p>
      <w:pPr>
        <w:spacing w:after="0" w:line="152"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Execution Services B.V. (“TESBV”), a MiFID Investment Firm authorized and regulated by the AFM, with permission to trade on a matched principal basis.</w:t>
      </w:r>
    </w:p>
    <w:p>
      <w:pPr>
        <w:spacing w:after="0" w:line="12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Australia Pty Ltd (formerly Yieldbroker Pty Limited) (“YB” or “Yieldbroker”), acquired in August 2023, a Tier 1 Australian Markets Licensee in Australia, regulated by ASIC.</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60" w:right="420" w:hanging="328"/>
        <w:spacing w:after="0" w:line="312"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Tradeweb (DIFC) Limited (“TDIFC”), an Authorized Firm regulated by the Dubai Financial Services Authority (“DFSA”) with a license for “arranging deals in investments” for users to access the Company’s various trading venues that are also separately recognized by the DFSA.</w:t>
      </w:r>
    </w:p>
    <w:p>
      <w:pPr>
        <w:spacing w:after="0" w:line="112" w:lineRule="exact"/>
        <w:rPr>
          <w:rFonts w:ascii="Times New Roman" w:cs="Times New Roman" w:eastAsia="Times New Roman" w:hAnsi="Times New Roman"/>
          <w:sz w:val="17"/>
          <w:szCs w:val="17"/>
          <w:color w:val="auto"/>
        </w:rPr>
      </w:pPr>
    </w:p>
    <w:p>
      <w:pPr>
        <w:ind w:left="660" w:right="2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 Technology and Trading Private Limited (“TTTL”), a private limited company incorporated in Mumbai, India. Its business scope includes providing a sales relationship support function for Tradeweb’s offshore trading platform into India.</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Brasil Ltda. (“TWB”), a limited liability company incorporated in Sao Paulo, Brazil.</w:t>
      </w:r>
    </w:p>
    <w:p>
      <w:pPr>
        <w:spacing w:after="0" w:line="184"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Cash Distributors Limited (“ICDLT”), acquired on August 1, 2024, a firm engaged in the provision of intermediary services authorized and regulated by the FCA in the UK.</w:t>
      </w:r>
    </w:p>
    <w:p>
      <w:pPr>
        <w:spacing w:after="0" w:line="134"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Company, a Joint Stock Company incorporated in the Kingdom of Saudi Arabia (“TWSA”), authorized and regulated by the Capital Markets Authority (“CMA”) to operate an Alternative Trading System (“ATS”).</w:t>
      </w:r>
    </w:p>
    <w:p>
      <w:pPr>
        <w:spacing w:after="0" w:line="12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Tradeweb Asia Pte. Ltd. (“TAPL”), a Singapore based company licensed by the Monetary Authority of Singapore (“MAS”) as a Capital Markets Service Provider.</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 Global Capability Centre Private Limited (“TWGC”), a private limited company based in Bangalore, India, operates as a support center for various administrative functions.</w:t>
      </w:r>
    </w:p>
    <w:p>
      <w:pPr>
        <w:spacing w:after="0" w:line="13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August 2024, the Company acquired Institutional Cash Distributors (“ICD”) by purchasing all of the outstanding equity interests of each of ICD Intermediate Holdco 1, LLC, SCIC - ICD Blocker 1, Inc. and Parthenon Investors V ICD Blocker, Inc. (the “ICD Acquisition”). ICD is an institutional investment technology provider for corporate treasury organizations trading short-term investments. ICD’s flagship products include the ICD Portal and ICD Portfolio Analytics. The portal is a one-stop shop to research, trade, analyze and report on investments across more than 40 available investment providers primarily offering money market funds and access to other short term products including deposits, fixed term funds and separately managed accounts (“SMAs”) (collectively referred to herein as “money market funds”). Portfolio Analytics is an AI-driven cloud solution for aggregating positions across a corporate treasury’s entire portfolio for analysis and reporting. With the 2024 acquisition of ICD and its proprietary technology, the Company added “corporates” as a client channel, serving corporate treasury professionals, complementing the Company’s previously existing focus on institutional, wholesale and retail clients.</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January 2024, the Company acquired R8FIN Holdings LP (together with its subsidiaries, “r8fin”) (the “r8fin Acquisition”). r8fin provides a suite of algorithmic-based tools as well as a thin-client execution management system (“EMS”) trading application to facilitate futures and cash trades. The r8fin solutions complement Tradeweb’s Active Streams, Central Limit Order Book (“CLOB”), Request-for-Quote (“RFQ”) and Automated Intelligent Execution (“AiEX”) offerings.</w:t>
      </w:r>
    </w:p>
    <w:p>
      <w:pPr>
        <w:spacing w:after="0" w:line="1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August 2023, the Company acquired Yieldbroker, a leading Australian trading platform for Australian and New Zealand government bonds and interest rate derivatives, covering the institutional and wholesale client sector (the “Yieldbroker Acquisition”). This acquisition combined Australia and New Zealand’s highly attractive, fast-growing markets with Tradeweb’s international reach and scale.</w:t>
      </w:r>
    </w:p>
    <w:p>
      <w:pPr>
        <w:spacing w:after="0" w:line="1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June 2021, the Company acquired Nasdaq’s U.S. fixed income electronic trading platform, formerly known as eSpeed (the “NFI Acquisition”), which is a fully executable CLOB for electronic trading in on-the-run (“OTR”) U.S. government bonds.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w:t>
      </w:r>
    </w:p>
    <w:p>
      <w:pPr>
        <w:spacing w:after="0" w:line="185" w:lineRule="exact"/>
        <w:rPr>
          <w:sz w:val="20"/>
          <w:szCs w:val="20"/>
          <w:color w:val="auto"/>
        </w:rPr>
      </w:pPr>
    </w:p>
    <w:p>
      <w:pPr>
        <w:ind w:left="660" w:right="30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investors collectively owned 112,142,045 shares of Class A common stock, representing 9.8% of the combined voting power of Tradeweb Markets Inc.’s issued and outstanding common stock and indirectly, through Tradeweb Markets Inc., owned 48.3% of the economic interest in TWM LLC;</w:t>
      </w:r>
    </w:p>
    <w:p>
      <w:pPr>
        <w:spacing w:after="0" w:line="14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LSEG indirectly owned 96,933,192 shares of Class B common stock, 18,000,000 shares of Class C common stock and 4,988,329 shares of Class D common stock, collectively representing 90.2% of the combined voting power of Tradeweb Markets Inc.’s issued and outstanding common stock and directly and indirectly, through Tradeweb Markets Inc., owned 51.7% of the economic interest in TWM LLC; and</w:t>
      </w:r>
    </w:p>
    <w:p>
      <w:pPr>
        <w:spacing w:after="0" w:line="135" w:lineRule="exact"/>
        <w:rPr>
          <w:rFonts w:ascii="Times New Roman" w:cs="Times New Roman" w:eastAsia="Times New Roman" w:hAnsi="Times New Roman"/>
          <w:sz w:val="18"/>
          <w:szCs w:val="18"/>
          <w:color w:val="auto"/>
        </w:rPr>
      </w:pPr>
    </w:p>
    <w:p>
      <w:pPr>
        <w:jc w:val="both"/>
        <w:ind w:left="660" w:right="18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stockholders that continued to own LLC Interests also collectively owned 68,539 shares of Class D common stock, representing less than 0.1% of the combined voting power of Tradeweb Markets Inc.’s issued and outstanding common stock. Collectively, these stockholders directly owned less than 0.1% of the economic interest in TWM LLC.</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addition, the Company’s basic and diluted earnings per share calculations for the three and nine months ended September 30, 2026 were impacted by 77,847 and 76,448, respectively, of weighted average shares resulting from unvested or unsettled vested stock awards that were considered participating securities for purposes of calculating earnings per share in accordance with the two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class method. The Company’s diluted earnings per share calculations for the three and nine months ended September 30, 2026 also include 493,942 and 488,333, respectively, of weighted average shares resulting from the dilutive effect of its equity incentive plans. See Note 13 – Earnings Per Share for additional details.</w:t>
      </w:r>
    </w:p>
    <w:p>
      <w:pPr>
        <w:spacing w:after="0" w:line="15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significant accounting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transactions and balances have been eliminated in consolidation. As discussed in Note 1 – Organization, as a result of the Reorganization Transactions, Tradeweb Markets Inc. consolidates TWM LLC and its subsidiaries and TWM LLC is considered to be the predecessor to Tradeweb Markets Inc. for financial reporting purposes. Tradeweb Markets Inc. had no business transactions or activities and no substantial assets or liabilities prior to the Reorganization Transactions. The condensed consolidated financial statements represent the financial condition and results of operations of the Company and report a non-controlling interest related to the LLC Interests held by Continuing LLC Owners.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condensed consolidated financial statements are unaudited and should be read in conjunction with the audited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Company’s Annual Report on Form 10-K for the year ended December 31, 2025. The consolidated financial information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has been derived from audited financial statements not included herein. These unaudited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have been prepared in accordance with accounting principles generally accepted in the United States of America (“GAAP”) and the rules and regulations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Securities and Exchange Commission (“SEC”) with respect to interim financial reporting and Form 10-Q. In accordance with such rules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regulations, certain disclosures that are normally included in annual financial statements have been omitted. These unaudited condensed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reflect all normal and recurring adjustments that are, in the opinion of management, necessary for a fair statement of the results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periods presented. Operating results for interim periods are not necessarily indicative of the results that may be expected for the full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Actual results could differ from those estimates and the difference may be material to the condensed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8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color w:val="auto"/>
        </w:rPr>
        <w:t xml:space="preserve">Business combinations are accounted for under the purchase method of accounting pursuant to Accounting Standards Codification (“ASC”)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The total cost of an acquisition is allocated to the underlying net assets based on their respective estimated fair values.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excess of the purchase price over the estimated fair values of the net assets acquired is recorded as goodwill. The fair value of assets acquired and liabilities assumed is determined based on assumptions that reasonable market participants would use in the principal (or most advantageous) market for the asset or liability. Determining the fair value of certain assets acquired and liabilities assumed is judgmental in nature and often involves the use of significant estimates and assumptions, including assumptions with respect to future cash flows, discount rates, growth rates, customer attrition rates and asset lives.</w:t>
      </w:r>
    </w:p>
    <w:p>
      <w:pPr>
        <w:spacing w:after="0" w:line="14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Transaction costs incurred to effect a business combination are expensed as incurred and are included as a component of professional fees or general and administrative expenses in the condensed consolidated statements of income.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Pushdown Accounting</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Refinitiv Transaction, a majority interest of Refinitiv was acquired by BCP on October 1, 2018 from TR. The Refinitiv Transaction was accounted for by Refinitiv in accordance with the acquisition method of accounting pursuant to 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pushdown accounting was applied to Refinitiv to record the fair value of the assets and liabilities of Refinitiv as of October 1, 2018, the date of the Refinitiv Transaction. The Company, as a consolidating subsidiary of Refinitiv, also accounted for the Refinitiv Transaction using pushdown accounting which resulted in a new fair value basis of accounting for certain of the Company’s assets and liabilities beginning on October 1, 2018. Under the pushdown accounting applied, the excess of the fair value of the Company above the fair value accounting basis of the net assets and liabilities of the Company as of October 1, 2018 was recorded as goodwill. The fair value of assets acquired and liabilities assumed was determined based on assumptions that reasonable market participants would use in the principal (or most advantageous) market for the asset or liability. The adjusted valuations primarily affected the values of the Company’s long-lived and indefinite-lived intangible assets, including software development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consists of cash and highly liquid investments with remaining maturities at the time of purchase of three months or less.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continually monitors collections and payments from its clients and maintains an allowance for credit losses. The allowance for credit losses is based on an estimate of the amount of potential credit losses in existing accounts receivable, as determined from a review of aging schedules, past due balances, historical collection experience and other specific account data. An analysis of the financial condition of the Company’s counterparties is also performed. When estimating credit losses on current accounts receivable and current contract assets arising from revenue from contracts with customers, the Company has elected the practical expedient to assume that current conditions as of the statement of financial condition date do not change for the remaining life of the asset. Additions to the allowance for credit losses relating to client receivables are charged to credit loss expense, included as a component of general and administrative expenses in the condensed consolidated statements of income. Aged balances that are determined to be uncollectible are written off against the allowance for credit losses.</w:t>
      </w:r>
    </w:p>
    <w:p>
      <w:pPr>
        <w:spacing w:after="0" w:line="151"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An allowance for credit losses is also recognized for any credit impairment of the Company’s digital asset loan receivable and available-for-sale debt securities, with the credit loss included as a component of other income (loss), net in the condensed consolidated statements of income. See Note 11 – Credit Risk for additional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 from and Payable to Brokers and Dealers and Clearing Organizations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Receivable from and payable to brokers and dealers and clearing organizations consists of proceeds from wholesale transactions executed on the Company’s platform which failed to settle due to the inability of a transaction party to deliver or receive the transacted security. These securities transactions are generally collateralized by those securities. Until the failed transaction settles, a receivable from (and a matching payable to) brokers and dealers and clearing organizations is recognized for the proceeds from the unsettled transaction.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 with Clearing Organizations</w:t>
      </w:r>
    </w:p>
    <w:p>
      <w:pPr>
        <w:spacing w:after="0" w:line="202" w:lineRule="exact"/>
        <w:rPr>
          <w:sz w:val="20"/>
          <w:szCs w:val="20"/>
          <w:color w:val="auto"/>
        </w:rPr>
      </w:pPr>
    </w:p>
    <w:p>
      <w:pPr>
        <w:ind w:right="5560"/>
        <w:spacing w:after="0" w:line="480" w:lineRule="auto"/>
        <w:rPr>
          <w:sz w:val="20"/>
          <w:szCs w:val="20"/>
          <w:color w:val="auto"/>
        </w:rPr>
      </w:pPr>
      <w:r>
        <w:rPr>
          <w:rFonts w:ascii="Times New Roman" w:cs="Times New Roman" w:eastAsia="Times New Roman" w:hAnsi="Times New Roman"/>
          <w:sz w:val="17"/>
          <w:szCs w:val="17"/>
          <w:color w:val="auto"/>
        </w:rPr>
        <w:t xml:space="preserve">Deposits with clearing organizations are comprised of cash deposits. </w:t>
      </w:r>
      <w:r>
        <w:rPr>
          <w:rFonts w:ascii="Times New Roman" w:cs="Times New Roman" w:eastAsia="Times New Roman" w:hAnsi="Times New Roman"/>
          <w:sz w:val="17"/>
          <w:szCs w:val="17"/>
          <w:b w:val="1"/>
          <w:bCs w:val="1"/>
          <w:color w:val="auto"/>
        </w:rPr>
        <w:t>Furniture, Equipment, Purchased Software and Leasehold Improvements</w:t>
      </w:r>
    </w:p>
    <w:p>
      <w:pPr>
        <w:spacing w:after="0" w:line="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carried at cost less accumulated depreciation. Depreciation for furniture, equipment and purchased software is computed on a straight-line basis over the estimated useful lives of the related assets, ranging from three to seven years. Leasehold improvements are amortized over the lesser of the estimated useful lives of the leasehold improvements or the remaining term of the lease for office space.</w:t>
      </w:r>
    </w:p>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Furniture, equipment, purchased software and leasehold improvements are tested for impairment whenever events or changes in circumstances suggest that an asset’s carrying value may not be fully recoverable.</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As of September 30, 2026 and December 31, 2025, accumulated depreciation related to furniture, equipment, purchased software and leasehold improvements totaled $109.5 million and $96.7 million, respectively. Depreciation expense for furniture, equipment, purchased software and leasehold improvements was $7.3 million and $6.4 million for the three months ended September 30, 2026 and 2025, respectively, and $21.8 million and $18.5 million for the nine months ended September 30, 2026 and 2025,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capitalizes costs associated with the development of internal use software at the point at which the conceptual formulation, design and testing of possible software project alternatives have been completed. The Company capitalizes employee compensation and related benefits and third party consulting costs incurred during the application development stage which directly contribute to such development. Such costs are amortized on a straight-line basis over three years. Software development costs acquired as part of the ICD Acquisition are amortized over eight years, software development costs acquired as part of the r8fin Acquisition are amortized over seven years and software development costs acquired as part of the Yieldbroker Acquisition and NFI Acquisition were both amortized over one year. Costs capitalized as part of the Refinitiv Transaction pushdown accounting allocation are amortized over nine years. The Company reviews the amounts capitalized for impairment whenever events or changes in circumstances indicate that the carrying amounts of the assets may not be fully recoverable, or that their useful lives are shorter than originally expected. Non-capitalized software costs and routine maintenance costs are expensed as incurred.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and December 31, 2025, accumulated amortization related to software development costs totaled $462.6 million and</w:t>
      </w:r>
    </w:p>
    <w:p>
      <w:pPr>
        <w:spacing w:after="0" w:line="27"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7"/>
          <w:szCs w:val="17"/>
          <w:color w:val="auto"/>
        </w:rPr>
        <w:t>$387.1 million, respectively. Amortization expense for software development costs was $25.9 million and $23.3 million for the three months ended September 30, 2026 and 2025, respectively, and $75.5 million and $67.8 million for the nine months ended September 30, 2026 and 2025,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Goodwill includes the excess of the fair value of the Company above the fair value accounting basis of the net assets and liabilities of the Company as previously applied under pushdown accounting in connection with the Refinitiv Transaction. Goodwill also includes the cost of acquired companies in excess of the fair value of identifiable net assets at the acquisition date, including the ICD Acquisition, the r8fin Acquisition, the Yieldbroker Acquisition and the NFI Acquisition, which were all accounted for as business combinations. Goodwill is not amortized, but is tested for impairment annually on October 1st and between annual tests, whenever events or changes in circumstances indicate that the carrying amount may not be fully recoverable. Goodwill is tested at the reporting unit level, which is defined as an operating segment or one level below the operating segment. The Company consists of one reporting unit for goodwill impairment testing purposes. An impairment loss is recognized if the estimated fair value of a reporting unit is less than its net book value. Such loss is calculated as the difference between the estimated fair value of goodwill and its carrying value.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was last tested for impairment on October 1, 2025 and no impairment of goodwill was identified.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Intangible assets with a finite life are amortized over the estimated lives, ranging from four to fifteen years. These intangible assets subject to amortization are tested for impairment whenever events or changes in circumstances suggest that an asset’s or asset group’s carrying value may not be fully recoverable. Intangible assets with an indefinite useful life are tested for impairment at least annually. An impairment loss is recognized if the sum of the estimated discounted cash flows relating to the asset or asset group is less than the corresponding book value.</w:t>
      </w:r>
    </w:p>
    <w:p>
      <w:pPr>
        <w:spacing w:after="0" w:line="13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accumulated amortization related to intangible assets totaled $887.0 million and $799.7 million, respectively. Amortization expense for definite-lived intangible assets was $29.1 million and $34.6 million for the three months ended September 30, 2026 and 2025, respectively, and $87.3 million and $103.8 million for the nine months ended September 30, 2026 and 2025, respectively.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Assets and Other Investments at Fair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Digital Assets - Canton Coins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performs services as a Super Validator and Validator on the Global Synchronizer, the Canton Network’s decentralized interoperability infrastructure. The Canton Network is a public-permissioned blockchain network designed with privacy and controls to facilitate the exchange of regulated financial assets. The Canton Network’s Global Synchronizer includes a utility token, which is a digital asset called the Canton Coin. As a Super Validator and Validator on the network, the Company verifies network transactions and contributes to the consensus mechanism of the network. For these validation services, the Company earns Canton Coins and then generally holds the Canton Coins on its balance sheet for investment purposes and may use Canton Coins to pay fees associated with its own Canton Network activity. The cost basis of the Canton Coins received throughout each day is initially recorded at its fair value on the date of receipt as a component of digital assets and other investments at fair value in the condensed consolidated statements of financial condition. The Canton Coins are then remeasured to fair market value at the end of each reporting period through an adjustment to unrealized gain/(loss), included as a component of other income (loss), net in the condensed consolidated statements of income. The Company employs the first-in-first-out (“FIFO”) method to determine the cost basis of its Canton Coins for the computation of gains and losses on any disposal or sale of Canton Coins. Realized gain/(loss) on any disposal or sale of Canton Coins are also included as a component of other income (loss), net in the condensed consolidated statements of income.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Available-for-Sale Debt Securities</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Investments in available-for-sale debt securities are carried at fair value with unrealized gains or losses excluded from earnings and reported in accumulated other comprehensive income (loss) in the condensed consolidated statements of financial condition until the available-for-sale debt security is derecognized. When an available-for-sale debt security is derecognized, the accumulated other comprehensive income (loss) balance for that security, as of the end of the preceding reporting period, is reclassified into earnings.</w:t>
      </w:r>
    </w:p>
    <w:p>
      <w:pPr>
        <w:spacing w:after="0" w:line="13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a quarterly basis, the Company assesses whether an impairment loss on its available-for-sale debt securities has occurred due to declines in fair value or other market conditions. When the amortized cost basis of available-for-sale debt security exceeds its fair value, the security is deemed to be impaired. The portion of an impairment related to credit losses is determined by comparing the present value of cash flows expected to be collected from the security with the amortized cost basis of the security and is recorded as a charge in the condensed consolidated statements of income. The remainder of an impairment is recognized in accumulated other comprehensive loss if the Company does not intend to sell the security and it is more likely than not that the Company will not be required to sell the security prior to recovery. Investments in available-for-sale debt securities are included as a component of digital assets and other investments at fair value in the condensed consolidated statements of financial condition.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Equity Securities with a Readily Determinable Fair Value</w:t>
      </w:r>
    </w:p>
    <w:p>
      <w:pPr>
        <w:spacing w:after="0" w:line="20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Minority investments in equity securities with a readily determinable fair value that are not accounted for under the equity method are remeasured to fair market value at the end of each reporting period through an adjustment to unrealized gain/(loss) included as a component of other income (loss), net in the condensed consolidated statements of income. These investments are included as a component of digital assets and other investments at fair value in the condensed consolidated statements of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Equity Investments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generally accounts for equity investments under the equity method of accounting when it has the ability to exercise significant influence over the entity’s operating and financial policies but does not have a controlling financial interest. For equity investments in corporations, the equity method applies only to investments in common stock or in-substance common stock.</w:t>
      </w:r>
    </w:p>
    <w:p>
      <w:pPr>
        <w:spacing w:after="0" w:line="14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For equity method investments, the Company records its estimated pro rata share of earnings or losses each reporting period as a component of other income (loss) in the condensed consolidated statements of income and records any dividends as a reduction of the investment balance. Equity method investments are reviewed for impairment whenever events or changes in circumstances indicate that the carrying amount of the investment may not be recoverable. If the estimated fair value of the investment is less than the carrying amount and management considers the decline in value to be other than temporary, the excess of the carrying amount over the estimated fair value is recognized in net income as an impairment in the period the impairment occurs.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For minority investments in equity securities without a readily determinable fair value that are not accounted for under the equity method, the Company applies the measurement alternative. Under the measurement alternative, these investments are measured at cost, less impairment, plus or minus observable price changes (in orderly transactions) of an identical or similar investment of the same issuer. On a quarterly basis, the Company performs a qualitative assessment to evaluate whether the equity investment is impaired and if the Company determines that the equity investment is impaired on the basis of a qualitative assessment, the Company will recognize an impairment loss in net income equal to the amount by which the investment’s carrying amount exceeds its fair value.</w:t>
      </w:r>
    </w:p>
    <w:p>
      <w:pPr>
        <w:spacing w:after="0" w:line="16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Equity method investments and investments in equity securities without a readily determinable fair value are included as a component of other assets in the condensed consolidated statements of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Sold Under Agreements to Repurchase</w:t>
      </w:r>
    </w:p>
    <w:p>
      <w:pPr>
        <w:spacing w:after="0" w:line="18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From time to time, the Company sells securities under agreements to repurchase in order to facilitate the clearance of securities. Securities sold under agreements to repurchase are treated as collateralized financings and are presented in the condensed consolidated statements of financial condition at the amounts of cash received. Receivables and payables arising from these agreements are not offset in the condensed consolidated statements of financial condition.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lease commencement, a right-of-use asset and a lease liability are recognized for all leases with an initial term in excess of 12 months based on the initial present value of the fixed lease payments over the lease term. The lease right-of-use asset also reflects the present value of any initial direct costs, prepaid lease payments and lease incentives. The Company’s leases do not provide a readily determinable implicit discount rate. Therefore, management estimates the Company’s incremental borrowing rate used to discount the lease payments based on the information available at lease commencement. The Company includes the term covered by an option to extend a lease when the option is reasonably certain to be exercised. The Company has elected not to separate non-lease components from lease components for all leases. Significant assumptions and judgments in calculating the lease right-of-use assets and lease liabilities include the determination of the applicable borrowing rate for each lease. Operating lease expense is recognized on a straight-line basis over the lease term and included as a component of occupancy expense in the condensed consolidated statements of income.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classification of revenues in the condensed consolidated statements of income primarily represents revenues from contracts with customers disaggregated by type of revenue. See Note 4 – Revenue for additional details regarding revenue types and the Company’s policies regarding revenue recognition.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Translation of Foreign Currency and Foreign Exchange Derivative Contracts</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The realized and unrealized gains/losses totaled a loss of $0.4 million and a gain of $2.1 million during the three months ended September 30, 2026 and 2025, respectively, and a loss of $2.2 million and a gain of $4.7 million during the nine months ended September 30, 2026 and 2025, respectively. Since the condensed consolidated financial statements are presented in U.S. dollars, the Company also translates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to mitigate its U.S. dollar and British pound sterling versus euro exposure, generally with a duration of less than 12 months. The Company’s foreign exchange derivative contracts are not designated as hedges for accounting purposes. Changes in the fair value during the period of foreign currency forward contracts, which were entered into for foreign exchange risk management purposes relating to operating activities, are recognized in the condensed consolidated statements of income within general and administrative expenses and related cash flows are included in cash flows from operating activities. The Company does not use derivative instruments for trading or speculative purposes. Realized and unrealized gains/losses on foreign currency forward contracts totaled a gain of $4.0 million and a loss of $1.8 million during the three months ended September 30, 2026 and 2025, respectively, and a gain of $14.2 million and a loss of $22.6 million during the nine months ended September 30, 2026 and 2025, respectively. As of September 30, 2026 and December 31, 2025, the counterparty on each of the foreign exchange derivative contracts was an affiliate of LSEG and therefore the corresponding assets or liabilities on such contracts were included in receivable and due from related parties or payable and due to related parties, respectively, in the condensed consolidated statements of financial condition. See Note 10 – Fair Value of Financial Instruments and Other Assets for additional details on the Company’s derivative instruments.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the Corporation.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4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expected future tax consequences of temporary differences between the financial reporting and tax bases of assets and liabilities. The Company measures deferred taxes using the enacted tax rates and laws that will be in effect when such temporary differences are expected to reverse. The Company evaluates the need for valuation allowances based on the weight of positive and negative evidence. The Company records valuation allowances wherever management believes it is more likely than not that the Company will not be able to realize its deferred tax assets in the foreseeable future.</w:t>
      </w:r>
    </w:p>
    <w:p>
      <w:pPr>
        <w:spacing w:after="0" w:line="1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on the basis of a two-step process whereby (i) the Company determines whether it is more likely than not that the tax positions will be sustained on the basis of the technical merits of the position and (ii) for those tax positions that meet the more-likely-than-not recognition threshold, the Company recognizes the amount of tax benefit that is more than 50% likely to be realized upon ultimate settlement with the related tax authority.</w:t>
      </w:r>
    </w:p>
    <w:p>
      <w:pPr>
        <w:spacing w:after="0" w:line="13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related to income taxes within the provision for income taxes in the condensed consolidated statements of income. Accrued interest and penalties are included within accounts payable, accrued expenses and other liabilities in the condensed consolidated statements of financial condition.</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elected to treat taxes due on future U.S. inclusions in taxable income under the global intangible low-taxed income (“GILTI”) provision of the Tax Cuts and Jobs Act of 2017 as a current period expense when incurred.</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contains several changes to corporate taxation including modifications to capitalization of research and development expenses, limitations on deductions for interest expense and accelerated fixed asset depreciation. The OBBBA did not have a material impact on the Company’s condensed consolidated statements of financial condition as of September 30, 2026 or December 31, 2025 or the Company’s condensed consolidated statements of income or cash flows for the three and nine months ended September 30, 2026. The Company will continue to evaluate the implications of this legislation on future periods.</w:t>
      </w:r>
    </w:p>
    <w:p>
      <w:pPr>
        <w:spacing w:after="0" w:line="14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The IRA established a 15% corporate alternative minimum tax (“CAMT”) effective for taxable years beginning after December 31, 2022, and imposed a 1% excise tax on the repurchase after December 31, 2022 of stock by publicly traded U.S. corporations. The 1% excise tax did not have a material impact on the Company’s condensed consolidated statements of financial condition as of September 30, 2026 or December 31, 2025 or the Company’s condensed consolidated statements of income or cash flows for the three and nine months ended September 30, 2026 or 2025. The Company is subject to the current 15% CAMT, however, it did not have an impact on the Company’s effective tax rate for the three and nine months ended September 30, 2026 or 2025.</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Two Pillar Plan did not have a material impact on the Company’s condensed consolidated statements of financial condition as of September 30, 2026 or December 31, 2025 or the Company’s condensed consolidated statements of income or cash flows for the three and nine months ended September 30, 2026 or 2025. The Company continues to monitor developments related to the global tax reform and is awaiting further legislative updates.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 These costs are recognized as an expense over the requisite service period, with an offsetting increase to additional paid-in capital. The grant-date fair value of stock-based awards that do not require future service (i.e., vested awards) are expensed immediately.</w:t>
      </w:r>
    </w:p>
    <w:p>
      <w:pPr>
        <w:spacing w:after="0" w:line="13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grant-date fair value of stock-based awards with only time-based vesting requirements and stock-based awards that also vest based on the financial performance of the Company are determined based on the price of the Company’s Class A common stock on the grant date. For performance-based restricted stock units that vest based on the financial performance of the Company, the number of shares included in the stock-based compensation expense calculation each period is based on management’s estimate of the probable number of shares expected to be issued at settlement.</w:t>
      </w:r>
    </w:p>
    <w:p>
      <w:pPr>
        <w:spacing w:after="0" w:line="153"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For performance-based restricted stock units that vest based on market conditions, the Company recognizes stock-based compensation expense based on the estimated grant-date fair value of the awards computed with the assistance of a valuation specialist using a Monte Carlo simulation on a binomial model. The significant assumptions used to estimate the fair value of the performance-based restricted stock units that vest based on market conditions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If the service condition applicable for such award is met, expense is recognized based on the grant-date fair value of the award even if the market condition is not achieved.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Forfeitures of stock-based awards related to service conditions not being met are recognized as they occur.</w:t>
      </w:r>
    </w:p>
    <w:p>
      <w:pPr>
        <w:spacing w:after="0" w:line="18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Prior to the IPO, the Company awarded options to management and other employees (collectively, the “Special Option Award”) under the Amended and Restated Tradeweb Markets Inc. Option Plan (the “Option Plan”). The non-cash stock-based compensation expense associated with the Special Option Award was expensed beginning in the second quarter of 2019 and ended during the first quarter of 2024 when all previously awarded options were fully vested.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Basic and diluted earnings per share are computed in accordance with the two-class method as unvested or unsettled vested stock awards issued to certain retired or terminated employees are entitled to non-forfeitable dividend equivalent rights and are considered participating securities prior to being issued and outstanding shares of common stock. The two-class method is an earnings allocation formula that treats a participating security as having rights to earnings that otherwise would have been available to common stockholders. Basic earnings per share is computed by dividing the net income attributable to the Company’s outstanding shares of Class A and Class B common stock by the weighted-average number of the Company’s shares outstanding during the period. For purposes of computing diluted earnings per share, the weighted-average number of the Company’s shares reflects the dilutive effect that could occur if all potentially dilutive securities were converted into or exchanged or exercised for the Company’s Class A or Class B common stock.</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dilutive effect of stock options and other stock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payment awards is calculated using the treasury stock method, which assumes the proceeds from the exercise of these instruments are used to purchase shares of Class A common stock at the average market price for the period. The dilutive effect of LLC Interests held by non-controlling interests is evaluated under the if-converted method, where the securities are assumed to be converted at the beginning of the period, and the resulting common shares are included in the denominator of the diluted earnings per share calculation for the entire period presented. Performance-based stock awards are considered contingently issuable shares and their dilutive effect is included in the denominator of the diluted earnings per share calculation for the entire period, if those shares would be issuable as of the end of the reporting period, assuming the end of the reporting period was also the end of the contingency period.</w:t>
      </w:r>
    </w:p>
    <w:p>
      <w:pPr>
        <w:spacing w:after="0" w:line="16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represents the amount that would be received to sell an asset or paid to transfer a liability in an orderly transaction between market participants at the measurement date (the exit price). Financial instruments that the Company owns (long positions) are marked to bid prices, and instruments that the Company has sold, but not yet purchased (short positions) are marked to offer prices. Fair value measurements do not include transaction costs.</w:t>
      </w:r>
    </w:p>
    <w:p>
      <w:pPr>
        <w:spacing w:after="0" w:line="14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 xml:space="preserve">The fair value hierarchy under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Fair Value Measurement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asset or liability’s level within the fair value hierarchy is based on the lowest level of any input that is significant to the fair value measurement.</w:t>
      </w:r>
    </w:p>
    <w:p>
      <w:pPr>
        <w:spacing w:after="0" w:line="19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Unadjusted quoted prices in active markets that are accessible at the measurement date for identical, unrestricted assets or liabilities;</w:t>
      </w:r>
    </w:p>
    <w:p>
      <w:pPr>
        <w:spacing w:after="0" w:line="184"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Quoted prices in markets that are not considered to be active or for which all significant inputs are observable, either directly or indirectly;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Prices or valuations that require inputs that are both significant to the fair value measurement and unobservable.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Financial Accounting Standards Board (“FASB”) issued Accounting Standards Update (“ASU”) 2025-11, </w:t>
      </w:r>
      <w:r>
        <w:rPr>
          <w:rFonts w:ascii="Times New Roman" w:cs="Times New Roman" w:eastAsia="Times New Roman" w:hAnsi="Times New Roman"/>
          <w:sz w:val="18"/>
          <w:szCs w:val="18"/>
          <w:i w:val="1"/>
          <w:iCs w:val="1"/>
          <w:color w:val="auto"/>
        </w:rPr>
        <w:t>Interim Reporting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270): Narrow-Scope Improvements </w:t>
      </w:r>
      <w:r>
        <w:rPr>
          <w:rFonts w:ascii="Times New Roman" w:cs="Times New Roman" w:eastAsia="Times New Roman" w:hAnsi="Times New Roman"/>
          <w:sz w:val="18"/>
          <w:szCs w:val="18"/>
          <w:color w:val="auto"/>
        </w:rPr>
        <w:t>(“ASU 2025-11”), which clarifies interim disclosure requirements and the applicability of Topic 270. The amendments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this ASU result in a comprehensive list of interim disclosures that are required by GAAP and include a disclosure principle that requires entities to disclose events since the end of the last annual reporting period that had a material impact on the entity. ASU 2025-11 also clarifies the types of interim reporting and the form and content of interim financial statements prepared in accordance with GAAP. ASU 2025-11 is effective for the Company’s interim reporting periods beginning on January 1, 2028. The guidance may be applied on a prospective or retrospective basis and early adoption is permitted. The Company is currently evaluating the impact of adopting ASU 2025-11 on its interim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and Hedging (Topic 815) and 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Scope Refinements and Scope Clarification for Share-Based Noncash Consideration from a Customer in a Revenue Contract </w:t>
      </w:r>
      <w:r>
        <w:rPr>
          <w:rFonts w:ascii="Times New Roman" w:cs="Times New Roman" w:eastAsia="Times New Roman" w:hAnsi="Times New Roman"/>
          <w:sz w:val="18"/>
          <w:szCs w:val="18"/>
          <w:color w:val="auto"/>
        </w:rPr>
        <w:t>(“ASU 2025-07”). ASU 2025-07 adds a new scope exception to derivative accounting guidance for non-exchange traded contracts with underlyings based on operations or activities specific to one of the parties to the contract. However, this scope exception does not apply to (1) variables based on a market rate, market price or market index, (2) variables based on the price or performance (including default) of a financial asset or financial liability of one of the parties to the contract, (3) contracts (or features) involving the issuer’s own equity and (4) call and put options on debt instruments. The ASU also clarifies that an entity should apply the guidance from revenue from contracts with customers, including the non-cash consideration guidance therein, to a contract with share-based non-cash consideration from a customer for the transfer of goods or services unless and until the entity’s right to receive or retain the share-based non-cash consideration is unconditional. ASU 2025-07 is effective for the Company’s interim and annual reporting periods beginning on January 1, 2027. The guidance may be applied on a prospective or modified retrospective basis and early adoption is permitted. During the second quarter of 2026, the Company early adopted ASU 2025-07 on a prospective basis to new contracts entered into on or after January 1, 2026. The adoption of ASU 2025-07 did not have a material impact on the Company’s consolidated financial statements.</w:t>
      </w:r>
    </w:p>
    <w:p>
      <w:pPr>
        <w:spacing w:after="0" w:line="16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Accounting for Internal-Use Software </w:t>
      </w:r>
      <w:r>
        <w:rPr>
          <w:rFonts w:ascii="Times New Roman" w:cs="Times New Roman" w:eastAsia="Times New Roman" w:hAnsi="Times New Roman"/>
          <w:sz w:val="18"/>
          <w:szCs w:val="18"/>
          <w:color w:val="auto"/>
        </w:rPr>
        <w:t>(“ASU 2025-06”), which amends certain aspects of the accounting for and disclosure of internal-use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costs. To address that software is not always developed in a linear manner, ASU 2025-06 removes the previous references to project development stages and enhances the guidance on how to evaluate whether the probable-to-complete recognition threshold has been met. ASU 2025-06 is effective for the Company’s interim and annual reporting periods beginning on January 1, 2028. The guidance may be applied on a prospective, retrospective or modified prospective transition basis and early adoption is permitted. The Company is currently evaluating the impact of adopting ASU 2025-06 on its consolidated financial statements.</w:t>
      </w:r>
    </w:p>
    <w:p>
      <w:pPr>
        <w:spacing w:after="0" w:line="14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Contract Assets </w:t>
      </w:r>
      <w:r>
        <w:rPr>
          <w:rFonts w:ascii="Times New Roman" w:cs="Times New Roman" w:eastAsia="Times New Roman" w:hAnsi="Times New Roman"/>
          <w:sz w:val="18"/>
          <w:szCs w:val="18"/>
          <w:color w:val="auto"/>
        </w:rPr>
        <w:t>(“ASU 2025-05”). ASU 2025-05 introduces a practical expedient for measuring expected credit losses that permits entities to assume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current conditions as of the balance sheet date do not change for the remaining life of current accounts receivable and current contract assets arising from revenue from contracts with customers. On January 1, 2026, the Company adopted ASU 2025-05 on a prospective basis. The adoption of ASU 2025-05 did not have a material impact on the Company’s consolidated financial statements.</w:t>
      </w:r>
    </w:p>
    <w:p>
      <w:pPr>
        <w:spacing w:after="0" w:line="14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ASU 2024-03 requires the disaggregation of certain costs and expenses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the financial statements to provide enhanced transparency into the expense captions presented on the face of the income statement. ASU 2024-03 is effective for the Company’s Annual Report on Form 10-K for the fiscal year ending December 31, 2027 and for interim periods beginning in 2028. The guidance may be applied on a prospective or retrospective basis and early adoption is permitted. The Company is currently evaluating the impact of adopting ASU 2024-03 on its consolidated financial statements.</w:t>
      </w:r>
    </w:p>
    <w:p>
      <w:pPr>
        <w:spacing w:after="0" w:line="1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Restricted Cash</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Cash has been segregated in a special reserve bank account for the benefit of brokers and dealers under SEC Rule 15c3-3. The Company computes the proprietary accounts of broker-dealers (“PAB”) reserve, which requires the Company to maintain minimum segregated cash in the amount of excess total credits per the reserve computation. As of both September 30, 2026 and December 31, 2025, cash in the amount of $1.0 million, has been segregated in the PAB reserve account, exceeding the requirements pursuant to SEC Rule 15c3-3.</w:t>
      </w:r>
    </w:p>
    <w:p>
      <w:pPr>
        <w:spacing w:after="0" w:line="13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Revenue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its clients to provide a stand-ready connection to its electronic marketplaces, which facilitates the execution of trades by its clients. The access to the Company’s electronic marketplaces includes market data, continuous pricing data refreshes and the processing and reporting of trades thereon, which are highly interrelated services. The stand-ready connection to the electronic marketplaces is considered a single performance obligation satisfied over time as the client simultaneously receives and consumes the benefit from the Company’s performance as access is provided. This performance obligation constitutes a series of services that are substantially the same in nature and are provided over time using the same measure of progress.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its services, the Company may earn subscription fees for granting access to its electronic marketplaces. Subscription fees, which are generally fixed fees, are recognized as revenue on a monthly basis, in the period that access is provided. The frequency of subscription fee billings varies from monthly to annually, depending on contract terms.</w:t>
      </w:r>
    </w:p>
    <w:p>
      <w:pPr>
        <w:spacing w:after="0" w:line="1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also earns transaction fees and/or commissions from transactions executed on the Company’s electronic marketplaces, including the basis point commissions earned on the monthly average daily balance (“ADB”) of money market fund investments made through its ICD Portal, and commission revenue from its electronic and voice brokerage services on a riskless principal basis. Riskless principal revenues are derived on matched principal transactions where revenues are earned on the spread between the buy and sell price of the transacted product.</w:t>
      </w:r>
    </w:p>
    <w:p>
      <w:pPr>
        <w:spacing w:after="0" w:line="13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Transaction fees and commissions are generated both on a variable and fixed price basis and vary by geographic region, product type and trade size. Fixed monthly transaction fees and commissions, or monthly transaction fees and commission minimums, are earned on a monthly basis in the period the stand-ready trading services are provided and are generally billed monthly. For variable transaction fees and commissions, the Company charges its clients amounts calculated based on the mix of products traded and the volume of transactions executed. Variable transaction fee and commission revenue associated with a particular trade is recognized and recorded on a trade-date basis when the individual trade occurs and is generally billed when the trade settles or is billed monthly. Variable commission revenue based upon a client’s ADB invested in money market funds during a calendar month is recorded monthly and the rates billed may vary by money market fund and by the total level of funds invested. Variable discounts or rebates on transaction fees and commissions are earned and applied monthly or quarterly, are generally resolved within the same reporting period and are recorded as a reduction to revenue in the period the relevant trades occur.</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also earns fees from an affiliate of LSEG relating to the sale of market data to LSEG, which distributes that data. Included in these fees, which are billed quarterly, are real-time market data fees which are recognized monthly on a straight-line basis, as LSEG receives and consumes the benefit evenly over the contract period, as the data is provided. Also included in these fees are fees for historical data sets, which are recognized when the historical data set is provided to LSEG.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judgments used in accounting for the Company’s market data agreement with LSEG include the following determinations:</w:t>
      </w:r>
    </w:p>
    <w:p>
      <w:pPr>
        <w:spacing w:after="0" w:line="18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8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134"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13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 xml:space="preserve">The Company also earns revenue for performing services as a Super Validator and Validator on the Canton Network, (collectively, “Validator Revenue”), included as a component of other revenue in the condensed consolidated statements of income. As a Super Validator and Validator, the Company verifies network transactions and contributes to the consensus mechanism of the network. For these services, the Company earns Canton Coins and the number of Canton Coins earned in a particular period is variable based on the Canton Network’s minting curve and burn-mint equilibrium, the amount of time that the Company’s nodes are active during any given minting cycle (with new rounds beginning at regular 10 minute intervals throughout each day) in comparison to other network participants, the network designated weight of each of the Company’s validators and, beginning in the second quarter of 2026, the Company’s elected tier within the long-term locking commitment framework for Super Validators. Since the Canton Network is not an entity, it may not meet the definition of a customer in accordance with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606”)</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As a result, the Company has determined that, in the absence of a contract with a customer, it applies ASC 606, ‘by analogy’ to its Validator Revenue, considering the Canton Network’s protocol as a contract-like arrangement. Each block creation or validation round is considered a separate performance obligation and the Validator Revenue is recognized at the point in time when the validation round is complete and the Canton Coins are transferred into the Company’s digital wallet at the end of the round. Validator Revenue is recognized based on the fair value of each Canton Coin at contract inception, which has been deemed to be the start of each validation round, and therefore Validator Revenue will also vary based on any changes in the fair value of the Canton Coin, which may be highly volatile.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Some revenues earned by the Company have fixed fee components, such as monthly minimums or fixed monthly fees, and variable components, such as transaction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based fees and commissions. The breakdown of revenues between fixed and variable revenues for the three and nine months ended September 30, 2026 and 2025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52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7"/>
                <w:szCs w:val="17"/>
                <w:color w:val="auto"/>
              </w:rPr>
            </w:pPr>
          </w:p>
        </w:tc>
        <w:tc>
          <w:tcPr>
            <w:tcW w:w="252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9"/>
        </w:trPr>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32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60" w:type="dxa"/>
            <w:vAlign w:val="bottom"/>
          </w:tcPr>
          <w:p>
            <w:pPr>
              <w:spacing w:after="0"/>
              <w:rPr>
                <w:sz w:val="19"/>
                <w:szCs w:val="19"/>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320" w:type="dxa"/>
            <w:vAlign w:val="bottom"/>
          </w:tcPr>
          <w:p>
            <w:pPr>
              <w:spacing w:after="0"/>
              <w:rPr>
                <w:sz w:val="19"/>
                <w:szCs w:val="19"/>
                <w:color w:val="auto"/>
              </w:rPr>
            </w:pPr>
          </w:p>
        </w:tc>
        <w:tc>
          <w:tcPr>
            <w:tcW w:w="10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37"/>
        </w:trPr>
        <w:tc>
          <w:tcPr>
            <w:tcW w:w="56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439,493</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52,304</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372,380</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48,929</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60,378</w:t>
            </w:r>
          </w:p>
        </w:tc>
      </w:tr>
      <w:tr>
        <w:trPr>
          <w:trHeight w:val="27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LSEG market data fees</w:t>
            </w: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20,534</w:t>
            </w:r>
          </w:p>
        </w:tc>
      </w:tr>
      <w:tr>
        <w:trPr>
          <w:trHeight w:val="27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w:t>
            </w: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441,967</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142,578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375,771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132,827</w:t>
            </w:r>
          </w:p>
        </w:tc>
      </w:tr>
      <w:tr>
        <w:trPr>
          <w:trHeight w:val="21"/>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340" w:right="460" w:hanging="332"/>
        <w:spacing w:after="0" w:line="302"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Validator Revenue totaling $1.4 million and $2.3 million for the three months ended September 30, 2026 and 2025, respectively. The Company applies ASC 606 by analogy to its Validator Revenue.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6"/>
                <w:szCs w:val="16"/>
                <w:color w:val="auto"/>
              </w:rPr>
            </w:pPr>
          </w:p>
        </w:tc>
        <w:tc>
          <w:tcPr>
            <w:tcW w:w="252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2"/>
        </w:trPr>
        <w:tc>
          <w:tcPr>
            <w:tcW w:w="5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7"/>
                <w:szCs w:val="17"/>
                <w:color w:val="auto"/>
              </w:rPr>
            </w:pPr>
          </w:p>
        </w:tc>
        <w:tc>
          <w:tcPr>
            <w:tcW w:w="252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5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5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9"/>
        </w:trPr>
        <w:tc>
          <w:tcPr>
            <w:tcW w:w="5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32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6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300" w:type="dxa"/>
            <w:vAlign w:val="bottom"/>
          </w:tcPr>
          <w:p>
            <w:pPr>
              <w:spacing w:after="0"/>
              <w:rPr>
                <w:sz w:val="19"/>
                <w:szCs w:val="19"/>
                <w:color w:val="auto"/>
              </w:rPr>
            </w:pPr>
          </w:p>
        </w:tc>
        <w:tc>
          <w:tcPr>
            <w:tcW w:w="10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37"/>
        </w:trPr>
        <w:tc>
          <w:tcPr>
            <w:tcW w:w="55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7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1,326,817</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154,148</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1,131,285</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141,136</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fees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172,647</w:t>
            </w:r>
          </w:p>
        </w:tc>
      </w:tr>
      <w:tr>
        <w:trPr>
          <w:trHeight w:val="27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LSEG market data fees</w:t>
            </w:r>
          </w:p>
        </w:tc>
        <w:tc>
          <w:tcPr>
            <w:tcW w:w="26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70,028</w:t>
            </w:r>
          </w:p>
        </w:tc>
      </w:tr>
      <w:tr>
        <w:trPr>
          <w:trHeight w:val="27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1,336,819</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424,436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1,138,643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392,603</w:t>
            </w:r>
          </w:p>
        </w:tc>
      </w:tr>
      <w:tr>
        <w:trPr>
          <w:trHeight w:val="21"/>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right="500" w:hanging="332"/>
        <w:spacing w:after="0" w:line="302"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Validator Revenue totaling $6.8 million and $4.4 million for the nine months ended September 30, 2026 and 2025, respectively. The Company applies ASC 606 by analogy to its Validator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Fees received by the Company which are not yet earned are included in deferred revenue in the condensed consolidated statements of financial condition until the revenue recognition criteria have been met. The revenue recognized and the remaining deferred revenue balances are shown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4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27"/>
        </w:trPr>
        <w:tc>
          <w:tcPr>
            <w:tcW w:w="9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9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 December 31,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29,030</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billings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179,252</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(170,063)</w:t>
            </w:r>
          </w:p>
        </w:tc>
      </w:tr>
      <w:tr>
        <w:trPr>
          <w:trHeight w:val="230"/>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48"/>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 September 30, 2026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38,118</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recognized into revenue $27.4 million in deferred revenue that was deferred as of December 31, 2025. During the nine months ended September 30, 2025, the Company recognized into revenue $29.9 million in deferred revenue that was deferred as of December 31,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Corporation is subject to U.S. federal, state and local income taxes with respect to its taxable income, including its allocable share of any taxable income of TWM LLC, and is taxed at prevailing corporate tax rates. The Company’s actual effective tax rate is impacted by the Corporation’s ownership share of TWM LLC, which will continue to increase as Continuing LLC Owners that continue to hold LLC Interests redeem or exchange their LLC Interests for shares of Class A common stock or Class B common stock, as applicable, or the Corporation purchases LLC Interests from such Continuing LLC Owners. The Company’s consolidated effective tax rate also varies from period to period depending on changes in the mix of earnings, tax legislation and tax rates in various jurisdictions. The Company’s provision for income taxes includes U.S., federal, state, local and foreign taxes.</w:t>
      </w:r>
    </w:p>
    <w:p>
      <w:pPr>
        <w:spacing w:after="0" w:line="13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September 30, 2026 and 2025 was approximately 22.4% and 21.9%, respectively. The effective tax rate for the three months ended September 30, 2026 differed from the U.S. federal statutory rate of 21.0% primarily due to state, local and foreign taxes and the disallowance of compensation expense tax deductions, partially offset by the effect of non-controlling interests, the Foreign-Derived Deduction Eligible Income (“FDDEI”) deduction and a return-to-provision adjustment. The effective tax rate for the three months ended September 30, 2025 differed from the U.S. federal statutory rate of 21.0% primarily due to state, local and foreign taxes and the disallowance of compensation expense tax deductions, partially offset by the effect of non-controlling interests, the dividends received deduction and the FDDEI deduction.</w:t>
      </w:r>
    </w:p>
    <w:p>
      <w:pPr>
        <w:spacing w:after="0" w:line="15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Company’s effective tax rate for the nine months ended September 30, 2026 and 2025 was approximately 23.0% and 22.8%, respectively. The effective tax rate for the nine months ended September 30, 2026 differed from the U.S. federal statutory rate of 21.0% primarily due to state, local and foreign taxes and the disallowance of compensation expense tax deductions, partially offset by the effect of non-controlling interests, the FDDEI deduction and a return-to-provision adjustment. The effective tax rate for the nine months ended September 30, 2025 differed from the U.S. federal statutory rate of 21.0% primarily due to state, local and foreign taxes and the disallowance of compensation expense tax deductions, partially offset by the effect of non-controlling interests, the dividends received deduction and the FDDEI deduction.</w:t>
      </w:r>
    </w:p>
    <w:p>
      <w:pPr>
        <w:spacing w:after="0" w:line="14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has obtained, and expects to obtain, an increase in its share of the tax basis of the assets of TWM LLC when LLC Interests are redeemed or exchanged by Continuing LLC Owners and in connection with certain other qualifying transactions. This increase in tax basis has had, and may in the future have, the effect of reducing the amounts that the Corporation would otherwise pay in the future to various tax authorities. Pursuant to the Tax Receivable Agreement, the Corporation is required to make cash payments to the Continuing LLC Owners equal to 50% of the amount of U.S. federal, state and local income or franchise tax savings, if any, that the Corporation actually realizes (or in some circumstances are deemed to realize) as a result of certain future tax benefits to which the Corporation may become entitled. The Corporation expects to benefit from the remaining 50% of tax benefits, if any, that the Corporation may actually realize. See Note 6 – Tax Receivable Agreement for further details. The tax benefit has been recognized in deferred tax assets in the condensed consolidated statements of financial condition.</w:t>
      </w:r>
    </w:p>
    <w:p>
      <w:pPr>
        <w:spacing w:after="0" w:line="1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Tax Receivable Agreement</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the Reorganization Transactions, the Corporation entered into a tax receivable agreement (the “Tax Receivable Agreement”) with TWM LLC and the Continuing LLC Owners, which provides for the payment by the Corporation to a Continuing LLC Owner of 50% of the amount of U.S. federal, state and local income or franchise tax savings, if any, that the Corporation actually realizes (or in some circumstances is deemed to realize) as a result of (i) increases in the tax basis of TWM LLC’s assets resulting from (a) the purchase of LLC Interests from such Continuing LLC Owner, including with the net proceeds from the IPO and any subsequent offerings or (b) redemptions or exchanges by such Continuing LLC Owner of LLC Interests for shares of Class A common stock or Class B common stock or for cash, as applicable, and (ii) certain other tax benefits related to the Corporation making payments under the Tax Receivable Agreement. Payments under the Tax Receivable Agreement are due within 150 days after the filing of the tax return based on the actual tax savings realized by the Corporation, and estimated payments may be made in advance. The first payment of the Tax Receivable Agreement was made in January 2021. Substantially all payments due under the Tax Receivable Agreement are payable over fifteen years following the purchase of LLC Interests from Continuing LLC Owners or redemption or exchanges by Continuing LLC Owners of LLC Interests.</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Corporation accounts for the income tax effects resulting from taxable redemptions or exchanges of LLC Interests by Continuing LLC Owners for shares of Class A common stock or Class B common stock or cash, as the case may be, and purchases by the Corporation of LLC Interests from Continuing LLC Owners by recognizing an increase in deferred tax assets, based on enacted tax rates at the date of each redemption, exchange, or purchase, as the case may be. Further, the Corporation evaluates the likelihood that it will realize the benefit represented by the deferred tax asset, and, to the extent that the Corporation estimates that it is more likely than not that it will not realize the benefit, it reduces the carrying amount of the deferred tax asset with a valuation allowance.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mix of the Company’s earnings, tax legislation and tax rates in various jurisdictions, or other factors that may impact the Corporation’s actual tax savings realized, are reflected in income before taxes in the condensed consolidated statements of income in the period in which the change occurs. As of September 30, 2026 and December 31, 2025, the tax receivable agreement liability in the condensed consolidated statements of financial condition totaled $317.5 million and $336.5 million, respectively. During each of the three and nine months ended September 30, 2026 and 2025, no tax receivable agreement liability adjustment was recognized in the condensed consolidated statements of income.</w:t>
      </w:r>
    </w:p>
    <w:p>
      <w:pPr>
        <w:spacing w:after="0" w:line="1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Non-Controlling Interests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Transactions, Tradeweb Markets Inc. became the sole manager of TWM LLC and, as a result of this control, and because Tradeweb Markets Inc. has a substantial financial interest in TWM LLC, consolidates the financial results of TWM LLC into its condensed consolidated financial statements. The non-controlling interests balance reported in the condensed consolidated statements of financial condition represents the economic interests of TWM LLC held by Continuing LLC Owners. Income or loss is attributed to the non-controlling interests based on the relative ownership percentages of LLC Interests held during the period by Tradeweb Markets Inc. and the Continuing LLC Owners.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Tradeweb Markets LLC: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98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900" w:type="dxa"/>
            <w:vAlign w:val="bottom"/>
            <w:gridSpan w:val="3"/>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53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131"/>
        </w:trPr>
        <w:tc>
          <w:tcPr>
            <w:tcW w:w="536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LLC</w:t>
            </w:r>
          </w:p>
        </w:tc>
        <w:tc>
          <w:tcPr>
            <w:tcW w:w="1460" w:type="dxa"/>
            <w:vAlign w:val="bottom"/>
            <w:tcBorders>
              <w:top w:val="single" w:sz="8" w:color="auto"/>
            </w:tcBorders>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00" w:type="dxa"/>
            <w:vAlign w:val="bottom"/>
          </w:tcPr>
          <w:p>
            <w:pPr>
              <w:spacing w:after="0"/>
              <w:rPr>
                <w:sz w:val="11"/>
                <w:szCs w:val="11"/>
                <w:color w:val="auto"/>
              </w:rPr>
            </w:pPr>
          </w:p>
        </w:tc>
        <w:tc>
          <w:tcPr>
            <w:tcW w:w="1420" w:type="dxa"/>
            <w:vAlign w:val="bottom"/>
            <w:tcBorders>
              <w:top w:val="single" w:sz="8" w:color="auto"/>
            </w:tcBorders>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LLC</w:t>
            </w:r>
          </w:p>
        </w:tc>
        <w:tc>
          <w:tcPr>
            <w:tcW w:w="1480" w:type="dxa"/>
            <w:vAlign w:val="bottom"/>
            <w:tcBorders>
              <w:top w:val="single" w:sz="8" w:color="auto"/>
            </w:tcBorders>
          </w:tcPr>
          <w:p>
            <w:pPr>
              <w:jc w:val="right"/>
              <w:ind w:right="317"/>
              <w:spacing w:after="0" w:line="131" w:lineRule="exact"/>
              <w:rPr>
                <w:sz w:val="20"/>
                <w:szCs w:val="20"/>
                <w:color w:val="auto"/>
              </w:rPr>
            </w:pPr>
            <w:r>
              <w:rPr>
                <w:rFonts w:ascii="Times New Roman" w:cs="Times New Roman" w:eastAsia="Times New Roman" w:hAnsi="Times New Roman"/>
                <w:sz w:val="14"/>
                <w:szCs w:val="14"/>
                <w:b w:val="1"/>
                <w:bCs w:val="1"/>
                <w:color w:val="auto"/>
              </w:rPr>
              <w:t>Ownership</w:t>
            </w:r>
          </w:p>
        </w:tc>
      </w:tr>
      <w:tr>
        <w:trPr>
          <w:trHeight w:val="195"/>
        </w:trPr>
        <w:tc>
          <w:tcPr>
            <w:tcW w:w="536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46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8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8"/>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Tradeweb Markets Inc.</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209,075,237</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213,373,468</w:t>
            </w: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Number of LLC Interests held by non-controlling interests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23,056,868</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23,057,268</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LLC Interests outstanding</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232,132,105</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236,430,736</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LLC Interests held by the Continuing LLC Owners are redeemable in accordance with the TWM LLC Agreement, at the election of such holders, for shares of Class A common stock or Class B common stock, as applicable, on a one-for-one basis or, at the Company’s option, a cash payment in accordance with the terms of the TWM LLC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on Tradeweb Markets Inc.’s equity due to changes in the Corporation’s ownership interest in TWM LLC: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20"/>
        <w:spacing w:after="0" w:line="244" w:lineRule="auto"/>
        <w:rPr>
          <w:sz w:val="20"/>
          <w:szCs w:val="20"/>
          <w:color w:val="auto"/>
        </w:rPr>
      </w:pPr>
      <w:r>
        <w:rPr>
          <w:rFonts w:ascii="Times New Roman" w:cs="Times New Roman" w:eastAsia="Times New Roman" w:hAnsi="Times New Roman"/>
          <w:sz w:val="14"/>
          <w:szCs w:val="14"/>
          <w:b w:val="1"/>
          <w:bCs w:val="1"/>
          <w:color w:val="auto"/>
        </w:rPr>
        <w:t>Net Income Attributable to Tradeweb Markets Inc. and Transfers (to) from the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497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8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6"/>
        </w:trPr>
        <w:tc>
          <w:tcPr>
            <w:tcW w:w="860" w:type="dxa"/>
            <w:vAlign w:val="bottom"/>
          </w:tcPr>
          <w:p>
            <w:pPr>
              <w:spacing w:after="0"/>
              <w:rPr>
                <w:sz w:val="18"/>
                <w:szCs w:val="18"/>
                <w:color w:val="auto"/>
              </w:rPr>
            </w:pPr>
          </w:p>
        </w:tc>
        <w:tc>
          <w:tcPr>
            <w:tcW w:w="2000" w:type="dxa"/>
            <w:vAlign w:val="bottom"/>
            <w:gridSpan w:val="4"/>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8"/>
                <w:szCs w:val="18"/>
                <w:color w:val="auto"/>
              </w:rPr>
            </w:pPr>
          </w:p>
        </w:tc>
        <w:tc>
          <w:tcPr>
            <w:tcW w:w="1880" w:type="dxa"/>
            <w:vAlign w:val="bottom"/>
            <w:gridSpan w:val="3"/>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3"/>
        </w:trPr>
        <w:tc>
          <w:tcPr>
            <w:tcW w:w="8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r>
      <w:tr>
        <w:trPr>
          <w:trHeight w:val="190"/>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3" w:lineRule="exact"/>
        <w:rPr>
          <w:sz w:val="20"/>
          <w:szCs w:val="20"/>
          <w:color w:val="auto"/>
        </w:rPr>
      </w:pPr>
    </w:p>
    <w:p>
      <w:pPr>
        <w:sectPr>
          <w:pgSz w:w="11900" w:h="16838" w:orient="portrait"/>
          <w:cols w:equalWidth="0" w:num="2">
            <w:col w:w="5220" w:space="400"/>
            <w:col w:w="56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487,800</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(to) from non-controlling interests:</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Increase/(decrease) in Tradeweb Markets Inc.’s additional paid-in capital</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 a result of ownership changes in TWM LLC</w:t>
            </w: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34,172</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transfers (to) from non-controlling interests</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155"/>
        </w:trPr>
        <w:tc>
          <w:tcPr>
            <w:tcW w:w="56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Change from net income attributable to Tradeweb Markets Inc. and</w:t>
            </w: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209,672</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183,382</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618,231</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486,797</w:t>
            </w:r>
          </w:p>
        </w:tc>
        <w:tc>
          <w:tcPr>
            <w:tcW w:w="0" w:type="dxa"/>
            <w:vAlign w:val="bottom"/>
          </w:tcPr>
          <w:p>
            <w:pPr>
              <w:spacing w:after="0"/>
              <w:rPr>
                <w:sz w:val="1"/>
                <w:szCs w:val="1"/>
                <w:color w:val="auto"/>
              </w:rPr>
            </w:pPr>
          </w:p>
        </w:tc>
      </w:tr>
      <w:tr>
        <w:trPr>
          <w:trHeight w:val="236"/>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(to) from non-controlling interests</w:t>
            </w: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Stockholders’ Equity and Stock-Based Compensation Plans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rights and privileges of the Company’s stockholders’ equity and LLC Interests are described in the audited consolidated financial statements included in the Company’s Annual Report on Form 10-K for the year ended December 31, 2025 and there have been no changes to those rights and privileges during the nine months ended September 30, 2026.</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movement in the Company’s outstanding shares of common stock during the period: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3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16"/>
                <w:szCs w:val="16"/>
                <w:color w:val="auto"/>
              </w:rPr>
            </w:pP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115,502,689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5,056,868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235,492,749</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1,015,893</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1,015,893</w:t>
            </w: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(482,621)</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(482,621)</w:t>
            </w:r>
          </w:p>
        </w:tc>
        <w:tc>
          <w:tcPr>
            <w:tcW w:w="0" w:type="dxa"/>
            <w:vAlign w:val="bottom"/>
          </w:tcPr>
          <w:p>
            <w:pPr>
              <w:spacing w:after="0"/>
              <w:rPr>
                <w:sz w:val="1"/>
                <w:szCs w:val="1"/>
                <w:color w:val="auto"/>
              </w:rPr>
            </w:pPr>
          </w:p>
        </w:tc>
      </w:tr>
      <w:tr>
        <w:trPr>
          <w:trHeight w:val="196"/>
        </w:trPr>
        <w:tc>
          <w:tcPr>
            <w:tcW w:w="4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at March 31, 2026</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116,035,961</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96,933,192</w:t>
            </w:r>
          </w:p>
        </w:tc>
        <w:tc>
          <w:tcPr>
            <w:tcW w:w="8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5,056,868</w:t>
            </w:r>
          </w:p>
        </w:tc>
        <w:tc>
          <w:tcPr>
            <w:tcW w:w="8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236,026,021</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12,587</w:t>
            </w:r>
          </w:p>
        </w:tc>
        <w:tc>
          <w:tcPr>
            <w:tcW w:w="0" w:type="dxa"/>
            <w:vAlign w:val="bottom"/>
          </w:tcPr>
          <w:p>
            <w:pPr>
              <w:spacing w:after="0"/>
              <w:rPr>
                <w:sz w:val="1"/>
                <w:szCs w:val="1"/>
                <w:color w:val="auto"/>
              </w:rPr>
            </w:pPr>
          </w:p>
        </w:tc>
      </w:tr>
      <w:tr>
        <w:trPr>
          <w:trHeight w:val="175"/>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(1,908,308)</w:t>
            </w:r>
          </w:p>
        </w:tc>
        <w:tc>
          <w:tcPr>
            <w:tcW w:w="1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(1,908,308)</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2026</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114,140,240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5,056,868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234,130,300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60" w:type="dxa"/>
            <w:vAlign w:val="bottom"/>
            <w:tcBorders>
              <w:top w:val="single" w:sz="8" w:color="CCEEFF"/>
            </w:tcBorders>
            <w:vMerge w:val="continue"/>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0" w:type="dxa"/>
            <w:vAlign w:val="bottom"/>
          </w:tcPr>
          <w:p>
            <w:pPr>
              <w:spacing w:after="0"/>
              <w:rPr>
                <w:sz w:val="1"/>
                <w:szCs w:val="1"/>
                <w:color w:val="auto"/>
              </w:rPr>
            </w:pPr>
          </w:p>
        </w:tc>
      </w:tr>
      <w:tr>
        <w:trPr>
          <w:trHeight w:val="176"/>
        </w:trPr>
        <w:tc>
          <w:tcPr>
            <w:tcW w:w="4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 repurchases pursuant to share repurchase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(2,020,555)</w:t>
            </w:r>
          </w:p>
        </w:tc>
        <w:tc>
          <w:tcPr>
            <w:tcW w:w="10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(2,020,555)</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112,142,045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5,056,868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232,132,105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4160" w:type="dxa"/>
            <w:vAlign w:val="bottom"/>
          </w:tcPr>
          <w:p>
            <w:pPr>
              <w:spacing w:after="0"/>
              <w:rPr>
                <w:sz w:val="24"/>
                <w:szCs w:val="24"/>
                <w:color w:val="auto"/>
              </w:rPr>
            </w:pPr>
          </w:p>
        </w:tc>
        <w:tc>
          <w:tcPr>
            <w:tcW w:w="13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0" w:type="dxa"/>
            <w:vAlign w:val="bottom"/>
          </w:tcPr>
          <w:p>
            <w:pPr>
              <w:spacing w:after="0"/>
              <w:rPr>
                <w:sz w:val="24"/>
                <w:szCs w:val="24"/>
                <w:color w:val="auto"/>
              </w:rPr>
            </w:pP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C</w:t>
            </w: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Class D</w:t>
            </w:r>
          </w:p>
        </w:tc>
        <w:tc>
          <w:tcPr>
            <w:tcW w:w="13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16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115,977,551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5,073,538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235,984,281</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454,830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454,830</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116,439,381</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5,066,538</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236,439,111</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116,453,684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5,062,538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236,449,414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Activities related to exchanges of LLC Interests</w:t>
            </w: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60" w:type="dxa"/>
            <w:vAlign w:val="bottom"/>
            <w:tcBorders>
              <w:top w:val="single" w:sz="8" w:color="CCEEFF"/>
            </w:tcBorders>
            <w:vMerge w:val="continue"/>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5,270</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(5,270)</w:t>
            </w:r>
          </w:p>
        </w:tc>
        <w:tc>
          <w:tcPr>
            <w:tcW w:w="80" w:type="dxa"/>
            <w:vAlign w:val="bottom"/>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from equity incentive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23,027</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23,027</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116,481,981</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96,933,192</w:t>
            </w:r>
          </w:p>
        </w:tc>
        <w:tc>
          <w:tcPr>
            <w:tcW w:w="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18,000,000</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5,057,268</w:t>
            </w:r>
          </w:p>
        </w:tc>
        <w:tc>
          <w:tcPr>
            <w:tcW w:w="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236,472,441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gridSpan w:val="2"/>
          </w:tcPr>
          <w:p>
            <w:pPr>
              <w:jc w:val="right"/>
              <w:ind w:right="1132"/>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Tradeweb Markets Inc. 2019 Omnibus Equity Incentive Plan, the Company is authorized to issue up to 8,841,864 new shares of Class A common stock to employees, officers and non-employee directors. Under this plan, the Company may grant awards in respect of shares of Class A common stock, including restricted stock units (“RSUs”) and restricted stock awards (“RSAs”) with only time-based vesting conditions, performance-based restricted stock units with both time and performance-based vesting conditions, stock options and dividend equivalent rights. The Company refers to performance-based restricted stock units that vest based on the financial performance of the Company as “PRSUs” and performance-based restricted stock units that vest based on market conditions, such as total shareholder return, as “PSUs”. RSUs, PRSUs and PSUs each represent promises to issue actual shares of Class A common stock at the end of a vesting period. RSAs were issued shares of restricted Class A common stock that were released to an employee on August 1, 2026, at the end of a two-year vesting period. Stock options have a maximum contractual term of 10 years.</w:t>
      </w:r>
    </w:p>
    <w:p>
      <w:pPr>
        <w:spacing w:after="0" w:line="1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granted 4,828 RSUs at a weighted-average grant-date fair value per share of $100.41. No PRSUs or PSUs were granted during the three months ended September 30, 2026. During the nine months ended September 30, 2026, the Company granted 474,482 RSUs, 230,632 PRSUs and 113,428 PSUs at a weighted-average grant-date fair value per share of $123.29, $124.42 and $175.62, respectively.</w:t>
      </w:r>
    </w:p>
    <w:p>
      <w:pPr>
        <w:spacing w:after="0" w:line="13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RSU awards granted to employees will generally vest one-third each year over a three-year period, RSU awards granted to non-employee directors will generally vest after one year and RSAs vest at the end of a two-year period.</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PRSUs generally cliff vest on January 1 of the third calendar year from the calendar year of the date of grant and the number of shares a participant will receive upon vesting is determined by a performance modifier, which is adjusted as a result of the financial performance of the Company. For PRSU awards granted during 2024 and thereafter, the financial performance of the Company will be determined based on the compound annual growth rate over a three-year performance period beginning on January 1 in the year of grant. For all PRSU awards granted, the performance modifier can vary between 0% (minimum) and 250% (maximum) of the target (100%) award amount.</w:t>
      </w:r>
    </w:p>
    <w:p>
      <w:pPr>
        <w:spacing w:after="0" w:line="14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PSUs cliff vest on January 1 of the third calendar year from the calendar year of the date of grant and the number of shares a participant will receive upon vesting is determined by a performance modifier, which is adjusted as a result of the Company’s total shareholder return over a three-year performance period. The performance modifier for PSUs can vary between 0% (minimum) and 250% (maximum) of the target (100%) award amount. The grant date fair value of PSUs granted in March 2026 and 2025 was estimated using the Monte Carlo simulation model and the significant valuation assumptions used in those models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15, 2026 PSU</w:t>
            </w:r>
          </w:p>
        </w:tc>
        <w:tc>
          <w:tcPr>
            <w:tcW w:w="40" w:type="dxa"/>
            <w:vAlign w:val="bottom"/>
          </w:tcPr>
          <w:p>
            <w:pPr>
              <w:spacing w:after="0"/>
              <w:rPr>
                <w:sz w:val="15"/>
                <w:szCs w:val="15"/>
                <w:color w:val="auto"/>
              </w:rPr>
            </w:pPr>
          </w:p>
        </w:tc>
        <w:tc>
          <w:tcPr>
            <w:tcW w:w="144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March 17, 2025 PSU</w:t>
            </w:r>
          </w:p>
        </w:tc>
      </w:t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Grant</w:t>
            </w:r>
          </w:p>
        </w:tc>
      </w:tr>
      <w:tr>
        <w:trPr>
          <w:trHeight w:val="37"/>
        </w:trPr>
        <w:tc>
          <w:tcPr>
            <w:tcW w:w="56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Maturity (years)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Volatility</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25.04 %</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486"/>
        </w:trPr>
        <w:tc>
          <w:tcPr>
            <w:tcW w:w="7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the Company’s total stock-based compensation expense is presented below:</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5"/>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0"/>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3"/>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60" w:type="dxa"/>
            <w:vAlign w:val="bottom"/>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26,136</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81,242</w:t>
            </w:r>
          </w:p>
        </w:tc>
        <w:tc>
          <w:tcPr>
            <w:tcW w:w="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75,232</w:t>
            </w:r>
          </w:p>
        </w:tc>
      </w:tr>
    </w:tbl>
    <w:p>
      <w:pPr>
        <w:spacing w:after="0" w:line="25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stock-based compensation expense above excludes $1.0 million and $0.7 million of stock-based compensation expense capitalized to software development costs during the three months ended September 30, 2026 and 2025, respectively, and $2.8 million and $2.0 million during the nine months ended September 30, 2026 and 2025,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board of directors has authorized share repurchase programs from time to time, which authorize the repurchase of shares of the Company’s Class A common stock to offset annual dilution from stock-based compensation plans, as well as to opportunistically repurchase the Company’s Class A common stock. Pursuant to these share repurchase programs, the Company may make repurchases in the open market, through privately negotiated transactions, through accelerated repurchase programs (including through the use of derivatives), pursuant to Rule 10b5-1 plans or through enhanced open-market repurchases (eOMR). Any share repurchases are conducted in compliance with applicable legal requirements and the manner, timing and amount of any repurchases are based on an evaluation of market conditions, stock price and other factors. The Company’s share repurchase programs do not require the Company to acquire a specific number of shares, have no termination date and may be suspended, amended or discontinued at any time. The excess of the repurchase price paid over the par value of the Class A common stock, including any excise tax payable on such share repurchase, is recorded as a reduction to retained earnings.</w:t>
      </w:r>
    </w:p>
    <w:p>
      <w:pPr>
        <w:spacing w:after="0" w:line="14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5, 2022, the board of directors authorized a share repurchase program for the purchase of up to $300.0 million of the Company’s Class A common stock (the “2022 Share Repurchase Program”), after completing in October 2022, the $150.0 million of total repurchases of the Company’s Class A common stock authorized under its previous share repurchase program.</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February 5, 2026, the board of directors authorized a new share repurchase program for the purchase of up to $500.0 million of the Company’s Class A common stock (the “2026 Share Repurchase Program”), which became available beginning in May 2026, after completing the $300.0 million of total repurchases of the Company’s Class A common stock authorized under the 2022 Share Repurchase Program.</w:t>
      </w:r>
    </w:p>
    <w:p>
      <w:pPr>
        <w:spacing w:after="0" w:line="1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acquired a total of 2,020,555 and 4,411,484 shares, respectively, of Class A common stock at an average price of $103.83 and $101.88, respectively, for purchases totaling $209.8 million and $449.5 million, respectively, pursuant to the Company’s share repurchase programs. As of September 30, 2026, $124.5 million remained available for repurchase pursuant to the 2026 Share Repurchase Program.</w:t>
      </w:r>
    </w:p>
    <w:p>
      <w:pPr>
        <w:spacing w:after="0" w:line="13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incurred $2.1 million and $3.5 million, respectively, in excise tax associated with share repurchases during the period. There were no share repurchases during the three or nine months ended September 30,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Share Repurchases</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2026 and 2025, the Company withheld 8,976 and 8,630 shares, respectively, of Class A common stock from employee stock option, PRSU, PSU and RSU awards, at an average price per share of $100.61 and $141.05, respectively, and an aggregate value of approximately $0.9 million and $1.2 million, respectively, based on the price of the Class A common stock on the date the relevant withholding occurred. During the nine months ended September 30, 2026 and 2025, the Company withheld 775,605 and 355,158 shares, respectively, of Class A common stock from employee stock option, PRSU, PSU and RSU awards, at an average price per share of $110.92 and $137.55, respectively, and an aggregate value of $86.0 million and $48.9 million, respectively, based on the price of the Class A common stock on the date the relevant withholding occurred. These shares are withheld in order for the Company to cover the employee payroll tax withholding obligations upon the exercise of stock options and settlement of PRSUs, PSUs and RSUs and such shares were not withheld in connection with the share repurchase programs discussed above.</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From time to time, the Company enters into transactions with its related parties which are considered to be related party transactions. As of September 30, 2026 and December 31, 2025, the following balances relating to transactions with such related parties were included in the condensed consolidated statements of financial condition in the following line items: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1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and due from related parties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w:t>
            </w:r>
          </w:p>
        </w:tc>
      </w:tr>
      <w:tr>
        <w:trPr>
          <w:trHeight w:val="229"/>
        </w:trPr>
        <w:tc>
          <w:tcPr>
            <w:tcW w:w="84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and due to related parties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w:t>
            </w:r>
          </w:p>
        </w:tc>
      </w:tr>
    </w:tbl>
    <w:p>
      <w:pPr>
        <w:spacing w:after="0" w:line="72" w:lineRule="exact"/>
        <w:rPr>
          <w:sz w:val="20"/>
          <w:szCs w:val="20"/>
          <w:color w:val="auto"/>
        </w:rPr>
      </w:pPr>
    </w:p>
    <w:p>
      <w:pPr>
        <w:ind w:left="340" w:right="200" w:hanging="332"/>
        <w:spacing w:after="0" w:line="268" w:lineRule="auto"/>
        <w:tabs>
          <w:tab w:leader="none" w:pos="33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and December 31, 2025, other assets included an equity method investment of $3.0 million and $4.5 million, respectively, representing a 50% equity interest in iAltA Capital Markets, LLC (“iAltA Capital”), in which an entity affiliated with a member of the Company’s board of directors is the other 50% investor (“iAltA Holdings”) and the Company’s director is also the Chief Executive Officer of both iAltA Capital and iAltA Holdings. As of September 30, 2026, other assets also included other equity investments totaling $40.2 million, through which the Company is able to exert significant influence over the investee’s operating and financial policies and are therefore also considered related parties.</w:t>
      </w:r>
    </w:p>
    <w:p>
      <w:pPr>
        <w:spacing w:after="0" w:line="1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amounts relating to transactions with such related parties were included in the condensed consolidated statements of income in the following line items: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4"/>
          </w:tcPr>
          <w:p>
            <w:pPr>
              <w:jc w:val="center"/>
              <w:ind w:right="2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7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fees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30"/>
        </w:trPr>
        <w:tc>
          <w:tcPr>
            <w:tcW w:w="56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LSEG market data fees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70,028</w:t>
            </w:r>
          </w:p>
        </w:tc>
      </w:tr>
      <w:tr>
        <w:trPr>
          <w:trHeight w:val="27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30"/>
        </w:trPr>
        <w:tc>
          <w:tcPr>
            <w:tcW w:w="5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23"/>
                <w:szCs w:val="23"/>
                <w:b w:val="1"/>
                <w:bCs w:val="1"/>
                <w:color w:val="auto"/>
                <w:vertAlign w:val="superscript"/>
              </w:rPr>
              <w:t>(2)</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7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Employee compensation and benefits </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w:t>
            </w:r>
          </w:p>
        </w:tc>
      </w:tr>
      <w:tr>
        <w:trPr>
          <w:trHeight w:val="27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7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Occupancy</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5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Non-operating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325"/>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Other income (loss), net </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 w:lineRule="exact"/>
        <w:rPr>
          <w:sz w:val="20"/>
          <w:szCs w:val="20"/>
          <w:color w:val="auto"/>
        </w:rPr>
      </w:pPr>
    </w:p>
    <w:p>
      <w:pPr>
        <w:ind w:left="340" w:right="80" w:hanging="332"/>
        <w:spacing w:after="0" w:line="271"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 market data license agreement with an affiliate of LSEG. Under the agreement, the Company delivers to LSEG certain market data feeds which LSEG distributes to its customers. The Company earns license fees and royalties for these feeds.</w:t>
      </w:r>
    </w:p>
    <w:p>
      <w:pPr>
        <w:ind w:left="320" w:hanging="312"/>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agreements with LSEG to provide the Company with certain market data, office space, finance, human resources and other administrative services.</w:t>
      </w:r>
    </w:p>
    <w:p>
      <w:pPr>
        <w:spacing w:after="0" w:line="14" w:lineRule="exact"/>
        <w:rPr>
          <w:rFonts w:ascii="Times New Roman" w:cs="Times New Roman" w:eastAsia="Times New Roman" w:hAnsi="Times New Roman"/>
          <w:sz w:val="14"/>
          <w:szCs w:val="14"/>
          <w:color w:val="auto"/>
        </w:rPr>
      </w:pPr>
    </w:p>
    <w:p>
      <w:pPr>
        <w:ind w:left="340" w:right="320" w:hanging="332"/>
        <w:spacing w:after="0" w:line="251"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a shared services agreement with iAltA Capital, through which the Company receives a reimbursement for employee compensation and benefits costs incurred related to work performed by the Company’s employees on behalf of iAltA Capital.</w:t>
      </w:r>
    </w:p>
    <w:p>
      <w:pPr>
        <w:ind w:left="340" w:right="360" w:hanging="332"/>
        <w:spacing w:after="0" w:line="283" w:lineRule="auto"/>
        <w:tabs>
          <w:tab w:leader="none" w:pos="33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Company’s estimated pro rata share of losses from its equity method investments in iAltA Capital (50% equity ownership) and MAXEX, LLC (“MAXEX”) (9% equity ownership).</w:t>
      </w:r>
    </w:p>
    <w:p>
      <w:pPr>
        <w:spacing w:after="0" w:line="13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to the above, the Company also periodically does business with certain entities with which its directors are affiliated. During the three and nine months ended September 30, 2026 and 2025, such transactions have not had, and are not currently expected to have, a material impact on the Company’s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Fair Value of Financial Instruments and Other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and Other Assets Measured at 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financial instruments and other assets measured at fair value in the condensed consolidated statements of financial condition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December 31, 2025 have been categorized based upon the fair value hierarchy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20" w:type="dxa"/>
            <w:vAlign w:val="bottom"/>
          </w:tcPr>
          <w:p>
            <w:pPr>
              <w:spacing w:after="0"/>
              <w:rPr>
                <w:sz w:val="9"/>
                <w:szCs w:val="9"/>
                <w:color w:val="auto"/>
              </w:rPr>
            </w:pPr>
          </w:p>
        </w:tc>
        <w:tc>
          <w:tcPr>
            <w:tcW w:w="1200" w:type="dxa"/>
            <w:vAlign w:val="bottom"/>
            <w:gridSpan w:val="2"/>
            <w:vMerge w:val="restart"/>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5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5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for Identical Assets</w:t>
            </w:r>
          </w:p>
        </w:tc>
        <w:tc>
          <w:tcPr>
            <w:tcW w:w="142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September 30, 2026</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 and other highly liquid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1,900,091</w:t>
            </w:r>
          </w:p>
        </w:tc>
        <w:tc>
          <w:tcPr>
            <w:tcW w:w="100" w:type="dxa"/>
            <w:vAlign w:val="bottom"/>
          </w:tcPr>
          <w:p>
            <w:pPr>
              <w:spacing w:after="0"/>
              <w:rPr>
                <w:sz w:val="22"/>
                <w:szCs w:val="22"/>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1,900,091</w:t>
            </w: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Investment in available for sale debt securities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Investment in equity securities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62,961</w:t>
            </w: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Digital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Canton Coins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207,515</w:t>
            </w: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Receivable and due from related parties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Foreign exchange derivative</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4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0" w:type="dxa"/>
            <w:vAlign w:val="bottom"/>
          </w:tcPr>
          <w:p>
            <w:pPr>
              <w:spacing w:after="0"/>
              <w:rPr>
                <w:sz w:val="1"/>
                <w:szCs w:val="1"/>
                <w:color w:val="auto"/>
              </w:rPr>
            </w:pPr>
          </w:p>
        </w:tc>
      </w:tr>
      <w:tr>
        <w:trPr>
          <w:trHeight w:val="221"/>
        </w:trPr>
        <w:tc>
          <w:tcPr>
            <w:tcW w:w="556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2,158,326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20,659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2,178,985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As of December 31, 2025</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5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 and other highly liquid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1,810,560</w:t>
            </w:r>
          </w:p>
        </w:tc>
        <w:tc>
          <w:tcPr>
            <w:tcW w:w="100" w:type="dxa"/>
            <w:vAlign w:val="bottom"/>
          </w:tcPr>
          <w:p>
            <w:pPr>
              <w:spacing w:after="0"/>
              <w:rPr>
                <w:sz w:val="22"/>
                <w:szCs w:val="22"/>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1,810,560</w:t>
            </w: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Investment in available for sale debt securities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24,857</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24,857</w:t>
            </w: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Digital asset loan receivable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23"/>
                <w:szCs w:val="23"/>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24,411</w:t>
            </w: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Digital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Canton Coins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242,729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242,729</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2,053,289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24,857</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2,102,557</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and due to related parties – Foreign exchange derivative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as a component of digital assets and other investments at fair value in the condensed consolidated statements of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18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classified within Level 1 of the fair value hierarchy because they are valued using quoted market prices in active markets.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Securitize</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April 2024, the Company made a strategic investment in a convertible note issued by Securitize, Inc. (“Securitize”) with a principal amount and original amortized cost basis of $10.0 million. The investment was made as part of the Company’s broader initiative to support the digitization of capital markets through the adoption of blockchain technology. The convertible note accrued interest at a rate of 5% per annum, compounded annually, and was scheduled to mature on the earliest to occur of January 19, 2027, an event of default or a change in control as each term was defined in the convertible note. On July 1, 2026, Securitize completed a business combination through which it became a publicly-listed company (the “Merger Transaction”), and which triggered the conversion of the convertible note and accrued interest, and resulted in the Company receiving 2.9 million shares of common stock in the post-merger public company Securitize Corp. (ticker symbol “SECZ”) and a contingent right to receive up to 0.1 million additional shares of SECZ common stock based on the performance of SECZ common stock over the five-year period following the closing of the Merger Transaction. The Company’s shares of SECZ common stock are subject to a lock-up agreement with certain restrictions on the Company’s ability to transfer, dispose or otherwise transact through December 2026, subject to certain exceptions.</w:t>
      </w:r>
    </w:p>
    <w:p>
      <w:pPr>
        <w:spacing w:after="0" w:line="1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Prior to conversion, the convertible note was accounted for as an available-for-sale debt security and the convertible note and accrued interest was included within digital assets and other investments at fair value in the condensed consolidated statements of financial condition at a fair value of $38.6 million and $24.9 million as of June 30, 2026 and December 31, 2025, respectively. The convertible note, including accrued interest, had an amortized cost basis of $11.1 million and $10.9 million as of June 30, 2026 and December 31, 2025, respectively. There were no credit losses recorded on the convertible note during each of the three and nine months ended September 30, 2026 and 2025.</w:t>
      </w:r>
    </w:p>
    <w:p>
      <w:pPr>
        <w:spacing w:after="0" w:line="1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the July 1, 2026 conversion, the Company derecognized the $38.6 million convertible note, recorded an investment in the 2.9 million shares of SECZ common stock and the $20.8 million accumulated other comprehensive income balance was reclassified into earnings, including $27.5 million of unrealized gains, included as a component of other income, and $6.7 million of deferred tax expense, during both the three and nine months ended September 30, 2026.</w:t>
      </w:r>
    </w:p>
    <w:p>
      <w:pPr>
        <w:spacing w:after="0" w:line="15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investment in shares of SECZ common stock is accounted for as an investment in an equity security with a readily determinable fair value, included as a component of digital assets and other investments at fair value in the condensed consolidated financial statements. As of September 30, 2026, the Company’s investment in Securitize had a fair value of $43.7 million. During both the three and nine months ended September 30, 2026, the Company recognized an unrealized gain totaling $5.0 million, included as a component of other income (loss), net in the condensed consolidated statements of income, related to changes in the fair value of the Company’s investment in Securitize subsequent to its conversion. The publicly traded shares of SECZ common stock are classified within Level 1 of the fair value hierarchy as of September 30, 2026.</w:t>
      </w:r>
    </w:p>
    <w:p>
      <w:pPr>
        <w:spacing w:after="0" w:line="147" w:lineRule="exact"/>
        <w:rPr>
          <w:sz w:val="20"/>
          <w:szCs w:val="20"/>
          <w:color w:val="auto"/>
        </w:rPr>
      </w:pPr>
    </w:p>
    <w:p>
      <w:pPr>
        <w:jc w:val="both"/>
        <w:ind w:right="240"/>
        <w:spacing w:after="0" w:line="312" w:lineRule="auto"/>
        <w:rPr>
          <w:sz w:val="20"/>
          <w:szCs w:val="20"/>
          <w:color w:val="auto"/>
        </w:rPr>
      </w:pPr>
      <w:r>
        <w:rPr>
          <w:rFonts w:ascii="Times New Roman" w:cs="Times New Roman" w:eastAsia="Times New Roman" w:hAnsi="Times New Roman"/>
          <w:sz w:val="17"/>
          <w:szCs w:val="17"/>
          <w:color w:val="auto"/>
        </w:rPr>
        <w:t>During the three and nine months ended September 30, 2026 and 2025, the Company recorded unrealized gains of none, $5.9 million, $13.5 million and $9.5 million, respectively, as a component of other comprehensive income related to an increase in fair value of the convertible note prior to conversion.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Canton Coins</w:t>
      </w:r>
    </w:p>
    <w:p>
      <w:pPr>
        <w:spacing w:after="0" w:line="18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The Canton Network’s Global Synchronizer includes a utility token, which is a digital asset called the Canton Coin. Beginning in the third quarter of 2024, the Company began earning and continues to earn Canton Coins for its function as a Super Validator and Validator on the Global Synchronizer, and then generally holds the Canton Coins on its balance sheet for investment purposes and may use Canton Coins to pay fees associated with its own Canton Network activity. During the second quarter of 2026, the Canton Network implemented a long-term locking and commitment framework for Super Validators (the “Locking Commitment”) designed to align Super Validator incentives with the long-term success of the Canton Network and create visible, on-chain commitment of the Super Validators to the Canton Network. To continue earning Canton Coins for its function as a Super Validator, the Locking Commitment requires Super Validators, including the Company, to lock a defined percentage of its aggregate lifetime Canton Coins earned for its function as a Super Validator (the “Lifetime Super Validator Coins”). Beginning in the second quarter of 2026, the amount of Super Validator weight assigned to the Company is based in part on the tiered percentage Locking Commitment elected by the Company. The Locking Commitment percentages step down over time and are scheduled to end in mid-2029. While Canton Coins are locked, they may not be transferred to third parties and once an election to unlock is made, 1/365 of the requested unlock amount becomes liquid each day (the “Canton Coin Lockup Restrictions”). As of September 30, 2026, the Company has elected Tier 1 of the Locking Commitment framework which allows it to retain 100% of its current Super Validator weight, and, as a result, 70% of its Lifetime Super Validator Coins are subject to the Canton Coin Lockup Restrictions.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2026 and 2025, the Company recognized $1.4 million, $2.3 million, $6.8 million and $4.4 million, respectively, in other revenue relating to Canton Coins earned in exchange for providing services as a Super Validator and Validator on the Canton Network.</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Canton Coin holdings as of September 30, 2026 and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27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2780" w:type="dxa"/>
            <w:vAlign w:val="bottom"/>
          </w:tcPr>
          <w:p>
            <w:pPr>
              <w:spacing w:after="0"/>
              <w:rPr>
                <w:sz w:val="16"/>
                <w:szCs w:val="16"/>
                <w:color w:val="auto"/>
              </w:rPr>
            </w:pPr>
          </w:p>
        </w:tc>
        <w:tc>
          <w:tcPr>
            <w:tcW w:w="1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Quantity of Coins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Quantity of Coins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9"/>
        </w:trPr>
        <w:tc>
          <w:tcPr>
            <w:tcW w:w="27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
        </w:trPr>
        <w:tc>
          <w:tcPr>
            <w:tcW w:w="2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2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Canton Coins </w:t>
            </w:r>
            <w:r>
              <w:rPr>
                <w:rFonts w:ascii="Times New Roman" w:cs="Times New Roman" w:eastAsia="Times New Roman" w:hAnsi="Times New Roman"/>
                <w:sz w:val="23"/>
                <w:szCs w:val="23"/>
                <w:color w:val="auto"/>
                <w:vertAlign w:val="superscript"/>
              </w:rPr>
              <w:t>(1)</w:t>
            </w:r>
          </w:p>
        </w:tc>
        <w:tc>
          <w:tcPr>
            <w:tcW w:w="14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1.6 billion</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207,515</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1.6 billion</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242,729</w:t>
            </w:r>
          </w:p>
        </w:tc>
      </w:tr>
    </w:tbl>
    <w:p>
      <w:pPr>
        <w:spacing w:after="0" w:line="85" w:lineRule="exact"/>
        <w:rPr>
          <w:sz w:val="20"/>
          <w:szCs w:val="20"/>
          <w:color w:val="auto"/>
        </w:rPr>
      </w:pPr>
    </w:p>
    <w:p>
      <w:pPr>
        <w:ind w:left="340" w:right="60" w:hanging="332"/>
        <w:spacing w:after="0" w:line="271" w:lineRule="auto"/>
        <w:tabs>
          <w:tab w:leader="none" w:pos="33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the Company was restricted from transferring to third parties a total of 1.3 billion of its Canton Coins valued at $163.7 million as a result of its election under the Canton Coin Lockup Restrictions described above, which could affect the Company’s ability to sell these assets, including during periods of price volatility or reduced liquidity. The Company had no restrictions on its ability to transfer any of its Canton Coins as of December 31, 2025.</w:t>
      </w:r>
    </w:p>
    <w:p>
      <w:pPr>
        <w:spacing w:after="0" w:line="1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November 2025, the Canton Coin began spot trading across several global digital asset exchanges and therefore its valuation was transferred from Level 3 to Level 1 of the fair value hierarchy as a result of the increase in observable pricing available from active markets. As of September 30, 2026 and December 31, 2025, the Company’s Canton Coin holdings were measured at fair value using quoted prices from the Company’s principal market for the sale of Canton Coins at the time of measurement.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2025, the Company sold a portion of its Canton Coin holdings for cash proceeds totaling</w:t>
      </w:r>
    </w:p>
    <w:p>
      <w:pPr>
        <w:spacing w:after="0" w:line="27"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$15.0 million and recognized a realized gain on the sale totaling $14.9 million, included as a component of other income (loss), net in the condensed consolidated statements of income. There were no material realized gains or losses recorded on the disposition of Canton Coins during the three or nine months ended September 30, 2026.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unrealized gains/losses on Canton Coins total an unrealized loss of $24.0 million and an unrealized gain of $28.3 million during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respectively, and an unrealized loss of $42.0 million and an unrealized gain of $50.6 million, during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respectively, included as a component of other income (loss), net in the condensed consolidated statements of income.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Canton Strategic Holdings</w:t>
      </w:r>
    </w:p>
    <w:p>
      <w:pPr>
        <w:spacing w:after="0" w:line="20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November 2025, the Company exchanged approximately 161 million Canton Coins for 8.1 million pre-funded warrants (“PFWs”), which upon exercise, entitle the Company the right to receive an equivalent number of shares of common stock of Canton Strategic Holdings, Inc. (formerly known as Tharimmune, Inc.) (“CNTN”). The exercisability of the PFWs was contingent on the approval of CNTN’s shareholders and if shareholder approval was not obtained by May 13, 2026, the PFWs would have been terminated and the Company would have been entitled to the receipt of the 161 million Canton Coins originally pre-funded. On the date of the exchange, both the 161 million Canton Coins and the 8.1 million PFWs were valued at approximately $25.0 million.</w:t>
      </w:r>
    </w:p>
    <w:p>
      <w:pPr>
        <w:spacing w:after="0" w:line="14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Until the approval of CNTN’s shareholders was obtained, the PFWs were accounted for as a digital asset loan receivable. On the November 2025 date of exchange, the Company derecognized the 161 million Canton Coins, recognized a $24.9 million realized gain on the transfer of the Canton Coins during the fourth quarter of 2025 and recorded a $25.0 million digital asset loan receivable, included as a component of digital assets and other investments at fair value in the condensed consolidated statements of financial condition as of December 31, 2025. Until shareholder approval was obtained, the digital asset loan receivable was remeasured on a recurring basis to the fair market value of the Canton Coins, through an adjustment to unrealized gain/(loss), included as a component of other income (loss), net in the condensed consolidated statements of income. As of December 31, 2025, the digital asset loan receivable was classified within Level 2 of the fair value hierarchy. Its carrying value was determined based on the fair value of the Canton Coin, as adjusted for an allowance for credit loss. As of December 31, 2025, the fair value of the Canton Coin was an observable valuation input.</w:t>
      </w:r>
    </w:p>
    <w:p>
      <w:pPr>
        <w:spacing w:after="0" w:line="1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January 30, 2026, CNTN’s shareholders approved the issuance of the PFWs and the Company derecognized the digital asset loan receivable which had a carrying value as of December 31, 2025 totaling $24.4 million, including the reversal of the allowance for credit loss of $0.2 million and previously unrealized losses totaling $0.4 million, recorded a $39.8 million investment in the PFWs and recognized a $14.8 million realized gain, included as a component of other income (loss), net in the condensed consolidated statements of income.</w:t>
      </w:r>
    </w:p>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exercised none and 3.0 million of its PFWs into an equivalent number of shares of CNTN common stock.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Subsequent to the January 30, 2026 approval of CNTN’s shareholders, the PFWs and any shares of CNTN common stock held are both accounted for as an equity security with a readily determinable fair value and included as a component of digital assets and other investments at fair value in the condensed consolidated statements of financial condition. The publicly traded shares of CNTN common stock are classified within Level 1 of the fair value hierarchy while the PFWs are measured at fair value based on the quoted public share price of CNTN common stock and are therefore classified within Level 2 of the fair value hierarchy as of September 30, 2026. During the three and nine months ended September 30, 2026, the Company recognized unrealized losses totaling $3.6 million and $20.4 million, respectively, related to changes in the fair value of the PFWs and shares of CNTN common stock, included as a component of other income (loss), net in the condensed consolidated statements of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PFWs are not able to be sold or transferred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Roll Forward</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changes in fair value for Level 3 assets during the three months ended September 30, 2025 and nine months ended September 30, 2026 and 2025. There were no Level 3 assets held and no activity during the three months ended September 30, 2026.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6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7"/>
                <w:szCs w:val="17"/>
                <w:color w:val="auto"/>
              </w:rPr>
            </w:pPr>
          </w:p>
        </w:tc>
      </w:tr>
      <w:tr>
        <w:trPr>
          <w:trHeight w:val="23"/>
        </w:trPr>
        <w:tc>
          <w:tcPr>
            <w:tcW w:w="6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6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6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
        </w:trPr>
        <w:tc>
          <w:tcPr>
            <w:tcW w:w="6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Investments in Available for Sale Debt Securities - Securitize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14,132</w:t>
            </w:r>
          </w:p>
        </w:tc>
        <w:tc>
          <w:tcPr>
            <w:tcW w:w="5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24,857</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w:t>
            </w:r>
          </w:p>
        </w:tc>
      </w:tr>
      <w:tr>
        <w:trPr>
          <w:trHeight w:val="229"/>
        </w:trPr>
        <w:tc>
          <w:tcPr>
            <w:tcW w:w="6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Transfer out of Level 3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realized and unrealized gains included in other comprehensive income (loss)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9,458</w:t>
            </w:r>
          </w:p>
        </w:tc>
      </w:tr>
      <w:tr>
        <w:trPr>
          <w:trHeight w:val="248"/>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20,197</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Digital Assets – Canton Coins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7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7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r>
      <w:tr>
        <w:trPr>
          <w:trHeight w:val="27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Dispositions</w:t>
            </w:r>
          </w:p>
        </w:tc>
        <w:tc>
          <w:tcPr>
            <w:tcW w:w="180" w:type="dxa"/>
            <w:vAlign w:val="bottom"/>
          </w:tcPr>
          <w:p>
            <w:pPr>
              <w:spacing w:after="0"/>
              <w:rPr>
                <w:sz w:val="23"/>
                <w:szCs w:val="23"/>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7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realized and unrealized gains included in other income (loss), net</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43,249</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65,535</w:t>
            </w: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55,759</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55,759</w:t>
            </w:r>
          </w:p>
        </w:tc>
      </w:tr>
      <w:tr>
        <w:trPr>
          <w:trHeight w:val="20"/>
        </w:trPr>
        <w:tc>
          <w:tcPr>
            <w:tcW w:w="6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right="60" w:hanging="332"/>
        <w:spacing w:after="0" w:line="268" w:lineRule="auto"/>
        <w:tabs>
          <w:tab w:leader="none" w:pos="3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between levels of the fair value hierarchy occur when there are changes in the observability of significant valuation inputs and/or the significance of valuation inputs and are reported at the beginning of the reporting period in which they occur. During the second quarter of 2026, the Company’s investment in the Securitize convertible note was reclassified from Level 3 to Level 2 of the fair value hierarchy as the valuation as of June 30, 2026 was based primarily on observable inputs from a comparable security. Previously, the convertible note was valued based on a probability-weighted expected return model that required assumptions that were both significant and unobservable.</w:t>
      </w:r>
    </w:p>
    <w:p>
      <w:pPr>
        <w:spacing w:after="0" w:line="14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recognized unrealized gains relating to Level 3 assets held at September 30, 2025 totaling $29.8 million and $50.6 million, respectively, included as a component of other income (loss), net in the condensed consolidated statements of income and $5.9 million and $9.5 million, respectively, included as a component of other comprehensive income in the condensed consolidated statements of comprehensive income.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Derivative Contracts</w:t>
      </w:r>
    </w:p>
    <w:p>
      <w:pPr>
        <w:spacing w:after="0" w:line="187"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The Company enters into foreign currency forward contracts to mitigate its U.S. dollar and British pound sterling versus euro exposure, generally with a duration of less than 12 months. The valuations for the Company’s foreign currency forward contracts are primarily based on the difference between the exchange rate associated with the contract and the exchange rate at the current period end for the tenor of the contract. Foreign currency forward contracts are categorized as Level 2 in the fair value hierarchy. As of September 30, 2026 and December 31, 2025, the counterparty on each of these foreign exchange derivative contracts was an affiliate of LSEG and therefore the corresponding assets or liabilities on such contracts were included in receivable and due from related parties or payable and due to related parties, respectively, in the condensed consolidated statements of financial condition.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U.S. dollar equivalent notional amount of the Company’s foreign exchange derivative contracts not designated as hedges for accounting purposes: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1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4"/>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 Gross notional amount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369,446</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339,794</w:t>
            </w:r>
          </w:p>
        </w:tc>
      </w:tr>
    </w:tbl>
    <w:p>
      <w:pPr>
        <w:spacing w:after="0" w:line="25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Company’s foreign exchange derivative contracts are not designated as hedges for accounting purposes and changes in the fair value of these contracts during the period are recognized in the condensed consolidated statements of income. The total realized and unrealized gains (losses) on foreign exchange derivative contracts recorded within the condensed consolidated statements of income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2"/>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7"/>
        </w:trPr>
        <w:tc>
          <w:tcPr>
            <w:tcW w:w="5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25"/>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not designated in accounting hedge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relationship – General and administrative (expenses)/income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3,995</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14,198</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(22,623)</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not measured at fair value in the condensed consolidated statements of financial condition as of September 30, 2026 and December 31, 2025 have been categorized based upon the fair value hierarchy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Identical Assets</w:t>
            </w:r>
          </w:p>
        </w:tc>
        <w:tc>
          <w:tcPr>
            <w:tcW w:w="100" w:type="dxa"/>
            <w:vAlign w:val="bottom"/>
          </w:tcPr>
          <w:p>
            <w:pPr>
              <w:spacing w:after="0"/>
              <w:rPr>
                <w:sz w:val="15"/>
                <w:szCs w:val="15"/>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40" w:type="dxa"/>
            <w:vAlign w:val="bottom"/>
          </w:tcPr>
          <w:p>
            <w:pPr>
              <w:spacing w:after="0"/>
              <w:rPr>
                <w:sz w:val="15"/>
                <w:szCs w:val="15"/>
                <w:color w:val="auto"/>
              </w:rPr>
            </w:pPr>
          </w:p>
        </w:tc>
        <w:tc>
          <w:tcPr>
            <w:tcW w:w="12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September 30, 2026</w:t>
            </w: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215,804</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215,804</w:t>
            </w:r>
          </w:p>
        </w:tc>
        <w:tc>
          <w:tcPr>
            <w:tcW w:w="0" w:type="dxa"/>
            <w:vAlign w:val="bottom"/>
          </w:tcPr>
          <w:p>
            <w:pPr>
              <w:spacing w:after="0"/>
              <w:rPr>
                <w:sz w:val="1"/>
                <w:szCs w:val="1"/>
                <w:color w:val="auto"/>
              </w:rPr>
            </w:pPr>
          </w:p>
        </w:tc>
      </w:tr>
      <w:tr>
        <w:trPr>
          <w:trHeight w:val="184"/>
        </w:trPr>
        <w:tc>
          <w:tcPr>
            <w:tcW w:w="41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137,347</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57,248</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326,748</w:t>
            </w: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740,413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1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90,989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90,989</w:t>
            </w:r>
          </w:p>
        </w:tc>
        <w:tc>
          <w:tcPr>
            <w:tcW w:w="1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90,989</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4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62"/>
        </w:trPr>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Identical Assets</w:t>
            </w:r>
          </w:p>
        </w:tc>
        <w:tc>
          <w:tcPr>
            <w:tcW w:w="10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4"/>
        </w:trPr>
        <w:tc>
          <w:tcPr>
            <w:tcW w:w="4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7"/>
                <w:szCs w:val="17"/>
                <w:color w:val="auto"/>
              </w:rPr>
            </w:pPr>
          </w:p>
        </w:tc>
        <w:tc>
          <w:tcPr>
            <w:tcW w:w="12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7"/>
                <w:szCs w:val="17"/>
                <w:color w:val="auto"/>
              </w:rPr>
            </w:pPr>
          </w:p>
        </w:tc>
        <w:tc>
          <w:tcPr>
            <w:tcW w:w="12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Total Fair Value</w:t>
            </w:r>
          </w:p>
        </w:tc>
      </w:tr>
      <w:tr>
        <w:trPr>
          <w:trHeight w:val="23"/>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3"/>
        </w:trPr>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of December 31, 2025</w:t>
            </w: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CCEEFF"/>
            </w:tcBorders>
            <w:shd w:val="clear" w:color="auto" w:fill="CCEEFF"/>
          </w:tcPr>
          <w:p>
            <w:pPr>
              <w:spacing w:after="0"/>
              <w:rPr>
                <w:sz w:val="19"/>
                <w:szCs w:val="19"/>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restricted cash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275,179</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275,179</w:t>
            </w:r>
          </w:p>
        </w:tc>
      </w:tr>
      <w:tr>
        <w:trPr>
          <w:trHeight w:val="176"/>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Receivable from brokers and dealers and clearing</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58,282</w:t>
            </w: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257,845</w:t>
            </w:r>
          </w:p>
        </w:tc>
      </w:tr>
      <w:tr>
        <w:trPr>
          <w:trHeight w:val="23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Memberships in clearing organizations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603,063</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76"/>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Payable to brokers and dealers and clearing</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organizations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carrying value of financial instruments not measured at fair value classified within Level 1 or Level 2 of the fair value hierarchy approximates fair value because of the relatively short term nature of the underlying assets or liabilities. The memberships in clearing organizations, which are included in other assets in the condensed consolidated statements of financial condition, are classified within Level 3 of the fair value hierarchy because the valuation requires assumptions that are both significant and unobservable.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202"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Company measures certain assets and liabilities at fair value on a non-recurring basis, such as assets acquired in a business combination, intangible assets, equity method investments and equity investments without readily determinable fair values for which the measurement alternative has been elected.</w:t>
      </w:r>
    </w:p>
    <w:p>
      <w:pPr>
        <w:spacing w:after="0" w:line="9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September 30, 2026 and December 31, 2025, the Company held equity method investments totaling $23.1 million and $4.5 million, respectively, included as a component of other assets in the condensed consolidated statements of financial condition. As of both September 30, 2026 and December 31, 2025, the Company also had $5.0 million in unfunded capital commitments related to its equity method investments. During the three and nine months ended September 30, 2026, the Company recognized an equity pickup loss of $0.6 million and $1.5 million, respectively, included in other income (loss), net in the condensed consolidated statements of income, relating to its pro rata share of operating performance of its equity method investments. No income or loss from equity method investments was recognized during the three or nine months ended September 30, 2025. There were no impairments recorded on equity method investments during the three or nine months ended September 30, 2026 and 2025.</w:t>
      </w:r>
    </w:p>
    <w:p>
      <w:pPr>
        <w:spacing w:after="0" w:line="14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Company held minority equity investments in various companies without readily determinable fair values totaling $142.6 million and $44.8 million, respectively, included as a component of other assets in the condensed consolidated statements of financial condition.</w:t>
      </w:r>
    </w:p>
    <w:p>
      <w:pPr>
        <w:spacing w:after="0" w:line="14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2026, and as of September 2026 and May 2026, the Company recorded unrealized gains totaling $14.4 million and $41.0 million, respectively, on its minority equity investments based on the price from observable transactions of similar investments of the same issuers. The unrealized gains are included in other income (loss) in the consolidated statements of income. There were no impairments on minority equity investments during the three or nine months ended September 30, 2026.</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recorded impairments totaling $3.8 million and $9.2 million, respectively, on its minority equity investments, as the investments’ carrying amounts exceeded their fair values. The investment impairments are included in other income (loss) in the condensed consolidated statements of income. Of these, impairments of $3.3 million and $5.4 million were recorded during the nine months ended September 30, 2025 based on the respective investment’s fair value as of September 30, 2025 and June 30, 2025, respectively, determined using a discounted cash flow model, using primarily Level 3 inputs. Significant unobservable inputs for these investments included discount rates ranging from 13.5% to 25.0% (weighted average: 16.9%) and perpetual growth rates ranging from 2.0% to 3.0% (weighted average: 2.3%), weighted based on the relative fair value of the investment. In September 2025, the Company also determined one of its investments was not likely recoverable and the investment balance was reduced to zero, resulting in the additional $0.5 million impairment recorded during the three and nine months ended September 30, 2025.</w:t>
      </w:r>
    </w:p>
    <w:p>
      <w:pPr>
        <w:spacing w:after="0" w:line="16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Cumulative impairments on minority equity investments held as of September 30, 2026 totaled $22.7 million. Cumulative unrealized gains on minority equity investments held as of September 30, 2026 totaled $45.3 million.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investments are subject to general contractual sale restrictions that may prohibit the transfer or sale of the investment without prior consent of the investee and/or other investors.</w:t>
      </w:r>
    </w:p>
    <w:p>
      <w:pPr>
        <w:spacing w:after="0" w:line="117" w:lineRule="exact"/>
        <w:rPr>
          <w:sz w:val="20"/>
          <w:szCs w:val="20"/>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Risk</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as agent, executes transactions with, and on behalf of, other brokers and dealers. If the agency transactions do not settle because of failure to perform by either counterparty, the Company will recognize a receivable from (and a matching payable to) brokers and dealers and clearing organizations for the proceeds from the unsettled transaction, until the failed transaction settles. The Company may be obligated to discharge the obligation of the non-performing party and, as a result, may incur a loss if the market value of the security is different from the contract amount of the transaction. However, from time to time, the Company enters into repurchase and/or reverse repurchase agreements to facilitate the clearance of securities relating to fails to deliver or receive. The Company seeks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Fixed Income Clearing Corporation (“FICC”). The FICC operates a continuous net settlement system, whereby as trades are submitted and compared, the FICC becomes the counterparty.</w:t>
      </w:r>
    </w:p>
    <w:p>
      <w:pPr>
        <w:spacing w:after="0" w:line="1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self-clears wholesale U.S. Treasury trades executed on its platform by non-FICC members. The number of self-cleared trades that settle over the fed wire, instead of FICC clearing, may impact the number of U.S. Treasury failed settlement transactions. As of September 30, 2026, the Company recorded an $137.3 million receivable and a $91.0 million payable from/to brokers and dealers and clearing organizations related to failed settlement transactions and the Company self-funded the remaining $46.4 million difference between the fail to deliver and fail to receive. All of the failed settlement transactions outstanding as of September 30, 2026 were fully settled during October 2026.</w:t>
      </w:r>
    </w:p>
    <w:p>
      <w:pPr>
        <w:spacing w:after="0" w:line="1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Additionally, in the normal course of business, the Company, as an introducing broker, executes transactions on behalf of or with clients of the Company, which are cleared by a clearing broker. Under the arrangement between the Company and the clearing broker, the Company is responsible for losses that may result from the clearing broker’s rejection, reversal or cancellation of a transaction. If there are temporary errors or delays in the processing or settlement of transactions, the clearing broker may require, usually with two business days’ notice, that the Company provide cash deposits until the errors are resolved.</w:t>
      </w:r>
    </w:p>
    <w:p>
      <w:pPr>
        <w:spacing w:after="0" w:line="143" w:lineRule="exact"/>
        <w:rPr>
          <w:sz w:val="20"/>
          <w:szCs w:val="20"/>
          <w:color w:val="auto"/>
        </w:rPr>
      </w:pPr>
    </w:p>
    <w:p>
      <w:pPr>
        <w:ind w:right="500"/>
        <w:spacing w:after="0" w:line="289" w:lineRule="auto"/>
        <w:rPr>
          <w:sz w:val="20"/>
          <w:szCs w:val="20"/>
          <w:color w:val="auto"/>
        </w:rPr>
      </w:pPr>
      <w:r>
        <w:rPr>
          <w:rFonts w:ascii="Times New Roman" w:cs="Times New Roman" w:eastAsia="Times New Roman" w:hAnsi="Times New Roman"/>
          <w:sz w:val="17"/>
          <w:szCs w:val="17"/>
          <w:color w:val="auto"/>
        </w:rPr>
        <w:t>A substantial number of the Company’s transactions are collateralized and executed with, and on behalf of, a limited number of broker-dealers. The Company’s exposure to credit risk associated with the nonperformance of these clients in fulfilling their contractual obligations pursuant to securities transactions can be directly impacted by volatile trading markets which may impair the clients’ ability to satisfy their obligations to the Company.</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does not expect nonperformance by counterparties in the above situations. However, the Company’s policy is to monitor its market exposure and counterparty risk. In addition, the Company has a policy of reviewing, as considered necessary, the credit standing of each counterparty with which it conducts business.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may be exposed to credit risk regarding its receivables, which are primarily receivables from financial institutions, including investment managers and broker-dealers. The Company maintains an allowance for credit losses based upon an estimate of the amount of potential credit losses in existing accounts receivable, as determined from a review of aging schedules, past due balances, historical collection experience and other specific account data. Analysis of the financial condition of the Company’s counterparties is also performed.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balances are pooled based on the following risk characteristics:</w:t>
      </w:r>
    </w:p>
    <w:p>
      <w:pPr>
        <w:spacing w:after="0" w:line="2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location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 type (billing type)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entity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allowance for credit losses is also recognized for any credit impairment of the Company’s digital asset loan receivable and available-for-sale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As of December 31, 2025, the Company maintained an allowance for credit loss with regards to its digital asset loan receivable totaling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 million, based on a review of the credit risk of the counterparty and the characteristics of the arrangement. As further described in Note 10 –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Financial Instruments and Other Assets, in January 2026, upon CNTN shareholder approval for the issuance of the PFWs, the digital asset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and the related allowance for credit loss were reversed, resulting in a reversal of credit loss expense totaling $0.2 million during the nine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2026. There was no allowance for credit losses recorded on available-for-sale debt securities as of December 31, 2025 and there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credit loss expense recognized during each of the three and nine months ended September 30, 2026 and 2025. As further described in Note 10 –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Financial Instruments and Other Assets, in July 2026, the Company’s available-for-sale debt security was converted into equity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Write-Offs</w:t>
      </w:r>
    </w:p>
    <w:p>
      <w:pPr>
        <w:spacing w:after="0" w:line="18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Once determined uncollectible, aged balances are written off against the allowance for credit losses. This determination is based on analysis of individual receivables and aging schedules, which are disaggregated based on the risk characteristics described above. Based on current policy, this generally occurs when the receivable is 360 days past due.</w:t>
      </w:r>
    </w:p>
    <w:p>
      <w:pPr>
        <w:spacing w:after="0" w:line="13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As of September 30, 2026 and December 31, 2025, the Company maintained an allowance for credit losses with regard to its receivables of $0.1 million and $0.6 million, respectively. During the three months ended September 30, 2026, recoveries resulted in a reversal of credit loss expense relating to receivables totaling $0.1 million and during the three months ended September 30, 2025, credit loss expense was $3,000. During the nine months ended September 30, 2026 and 2025, recoveries resulted in a reversal of credit loss expense relating to receivables totaling $0.4 million and $0.2 million, respectively.</w:t>
      </w:r>
    </w:p>
    <w:p>
      <w:pPr>
        <w:spacing w:after="0" w:line="1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lawsuits and other legal proceedings, including reviews, investigations and proceedings by governmental and self-regulatory agencies regarding its business. While the ultimate resolution of these matters cannot presently be determined, the Company does not believe that, taking into account any applicable insurance coverage, any of the pending legal proceedings could reasonably be expected to have a material adverse effect on its business, financial condition or results of operations.</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with its clients which provide the clients with indemnification rights, including in the event that the electronic marketplaces of the Company infringe upon the intellectual property or other proprietary right of a third party. The Company’s exposure under these agreements is unknown as this would involve estimating future claims against the Company which have not yet occurred. However, based on its experience, the Company expects the risk of a material loss to be remote.</w:t>
      </w:r>
    </w:p>
    <w:p>
      <w:pPr>
        <w:spacing w:after="0" w:line="15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Although the Company was dismissed from a lawsuit relating to interest rate swaps in 2017, the claims brought by certain swap execution facilities against the remaining defendant financial institutions continue and could still be appealed as to the Company.</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records its best estimate of a loss, including estimated defense costs, when the loss is considered probable and the amount of such loss can be reasonably estimated. Based on its experience, the Company believes that the amount of damages claimed in a legal proceeding is not a meaningful indicator of the potential liability. At this time, the Company cannot reasonably predict the timing or outcomes of, or estimate the amount of loss, or range of loss, if any, related to its pending legal proceedings and therefore does not have any contingency reserves established for any of these matters.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0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November 21, 2023, the Company entered into a five year, $500.0 million unsecured revolving credit facility (the “2023 Revolving Credit Facility”) with a syndicate of banks, which replaced its $500.0 million secured credit facility entered into on April 8, 2019.</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2023 Revolving Credit Facility provides borrowing capacity to be used to fund ongoing working capital needs, letters of credit and for general corporate purposes, including potential future acquisitions and expansions. Subject to the satisfaction of certain conditions, the Company is able to increase the 2023 Revolving Credit Facility by $250.0 million with the consent of the lenders participating in the increase. Borrowings under the 2023 Revolving Credit Facility may be, at the option of the Company, in U.S. dollars, Euros or Sterling. The 2023 Revolving Credit Facility also provides for the issuance of up to $5.0 million of letters of credit as well as borrowings on same-day notice, referred to as swingline loans, in an amount of up to $50.0 million. The 2023 Revolving Credit Facility will mature on November 21, 2028.</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2023 Revolving Credit Facility bear interest at a rate equal to, at the Company’s option, either (a) a base rate equal to the greatest of</w:t>
      </w:r>
    </w:p>
    <w:p>
      <w:pPr>
        <w:spacing w:after="0" w:line="27" w:lineRule="exact"/>
        <w:rPr>
          <w:sz w:val="20"/>
          <w:szCs w:val="20"/>
          <w:color w:val="auto"/>
        </w:rPr>
      </w:pPr>
    </w:p>
    <w:p>
      <w:pPr>
        <w:ind w:right="40" w:firstLine="8"/>
        <w:spacing w:after="0" w:line="252" w:lineRule="auto"/>
        <w:tabs>
          <w:tab w:leader="none" w:pos="2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prime rate, (ii) the federal funds effective rate plus ½ of 1.00% and (iii) one month Term SOFR plus 1.00% plus a credit adjustment spread of 0.10%, in each case plus a margin based on the Company’s consolidated net leverage ratio ranging from 0.25% to 0.75%, or (b) a rate equal to (i) in the case of borrowings in U.S. dollars, Term SOFR plus a credit adjustment spread of 0.10%, subject to a 0.00% floor, (ii) in the case of borrowings in Sterling, SONIA subject to a 0.00% floor, and (iii) in the case of borrowings in Euros, EURIBOR, subject to a 0.00% floor, in each case plus a margin based on the Company’s consolidated net leverage ratio ranging from 1.25% to 1.75%. The agreement that governs the 2023 Revolving Credit Facility also includes a commitment fee of 0.25% for available but unborrowed amounts and other administrative fees that are payable quarterly. Financial covenant requirements include maintaining minimum ratios related to interest coverage and leverage.</w:t>
      </w:r>
    </w:p>
    <w:p>
      <w:pPr>
        <w:spacing w:after="0" w:line="16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both September 30, 2026 and December 31, 2025, there were $0.5 million in letters of credit issued and no borrowings outstanding under the 2023 Revolving Credit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corporate offices and data centers with initial lease terms ranging from one to 16 years. The following table presents the future minimum lease payments and the maturity of lease liabilities as of September 30, 2026: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56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5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5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20,788</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122,431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5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203,077</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5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149,295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bottom w:val="single" w:sz="8" w:color="CCEEFF"/>
            </w:tcBorders>
            <w:vMerge w:val="restart"/>
          </w:tcPr>
          <w:p>
            <w:pPr>
              <w:jc w:val="right"/>
              <w:ind w:right="361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78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5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calculations of basic and diluted earnings per share of Class A and Class B common stock for Tradeweb Markets Inc.: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56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2560" w:type="dxa"/>
            <w:vAlign w:val="bottom"/>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9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Numerator:</w:t>
            </w:r>
          </w:p>
        </w:tc>
        <w:tc>
          <w:tcPr>
            <w:tcW w:w="47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197,457</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185,636</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584,059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487,800</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5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Distributed and undistributed earnings allocated to participating</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40" w:type="dxa"/>
            <w:vAlign w:val="bottom"/>
            <w:gridSpan w:val="3"/>
            <w:shd w:val="clear" w:color="auto" w:fill="CCEEFF"/>
          </w:tcPr>
          <w:p>
            <w:pPr>
              <w:ind w:left="420"/>
              <w:spacing w:after="0" w:line="243" w:lineRule="exact"/>
              <w:rPr>
                <w:sz w:val="20"/>
                <w:szCs w:val="20"/>
                <w:color w:val="auto"/>
              </w:rPr>
            </w:pPr>
            <w:r>
              <w:rPr>
                <w:rFonts w:ascii="Times New Roman" w:cs="Times New Roman" w:eastAsia="Times New Roman" w:hAnsi="Times New Roman"/>
                <w:sz w:val="18"/>
                <w:szCs w:val="18"/>
                <w:color w:val="auto"/>
              </w:rPr>
              <w:t xml:space="preserve">securities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Net income attributable to outstanding shares of Class A and Class B</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197,384</w:t>
            </w:r>
          </w:p>
        </w:tc>
        <w:tc>
          <w:tcPr>
            <w:tcW w:w="3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185,498</w:t>
            </w:r>
          </w:p>
        </w:tc>
        <w:tc>
          <w:tcPr>
            <w:tcW w:w="8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583,848</w:t>
            </w:r>
          </w:p>
        </w:tc>
        <w:tc>
          <w:tcPr>
            <w:tcW w:w="8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487,421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 Basic and Diluted</w:t>
            </w:r>
          </w:p>
        </w:tc>
        <w:tc>
          <w:tcPr>
            <w:tcW w:w="2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5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Weighted average shares of Class A and Class B common stock</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Basic</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210,409,905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213,359,090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211,844,545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213,263,111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PRSUs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451,111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288,067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Dilutive effect of RSUs and RSAs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412,545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Dilutive effect of PSUs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514,632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534,401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Weighted average shares of Class A and Class B common stock</w:t>
            </w:r>
          </w:p>
        </w:tc>
        <w:tc>
          <w:tcPr>
            <w:tcW w:w="2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210,903,847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214,983,486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212,332,878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214,951,279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 - Diluted</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right="140" w:hanging="332"/>
        <w:spacing w:after="0" w:line="271" w:lineRule="auto"/>
        <w:tabs>
          <w:tab w:leader="none" w:pos="3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September 30, 2026 and 2025, there was a total of 77,847 and 159,088, respectively, and during the nine months ended September 30, 2026 and 2025, there was a total of 76,448 and 165,713, respectively, weighted average unvested or unsettled vested stock awards that were considered a participating security for purposes of calculating earnings per share in accordance with the two-class method.</w:t>
      </w:r>
    </w:p>
    <w:p>
      <w:pPr>
        <w:spacing w:after="0" w:line="14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shares of Class A or Class B common stock, as applicable, of Tradeweb Markets Inc. The potential dilutive effect of LLC Interests held by Continuing LLC Owners are evaluated under the if-converted method. The potential dilutive effect of PRSUs, shares underlying options, RSUs, RSAs and PSUs are evaluated under the treasury stock method.</w:t>
      </w:r>
    </w:p>
    <w:p>
      <w:pPr>
        <w:spacing w:after="0" w:line="15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PRSUs, shares underlying options, RSUs, RSAs, PSUs and weighted-average LLC Interests held by Continuing LLC Owners that were anti-dilutive for the periods indicated. As a result, these shares, which were outstanding, were excluded from the computation of diluted earnings per share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80" w:type="dxa"/>
            <w:vAlign w:val="bottom"/>
            <w:gridSpan w:val="3"/>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3"/>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3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3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0"/>
        </w:trPr>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10"/>
        </w:trPr>
        <w:tc>
          <w:tcPr>
            <w:tcW w:w="20" w:type="dxa"/>
            <w:vAlign w:val="bottom"/>
            <w:shd w:val="clear" w:color="auto" w:fill="CCEEFF"/>
          </w:tcPr>
          <w:p>
            <w:pPr>
              <w:spacing w:after="0"/>
              <w:rPr>
                <w:sz w:val="18"/>
                <w:szCs w:val="18"/>
                <w:color w:val="auto"/>
              </w:rPr>
            </w:pPr>
          </w:p>
        </w:tc>
        <w:tc>
          <w:tcPr>
            <w:tcW w:w="55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Anti-dilutive Shares: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PRSUs</w:t>
            </w:r>
          </w:p>
        </w:tc>
        <w:tc>
          <w:tcPr>
            <w:tcW w:w="4040" w:type="dxa"/>
            <w:vAlign w:val="bottom"/>
            <w:tcBorders>
              <w:top w:val="single" w:sz="8" w:color="CCEEFF"/>
            </w:tcBorders>
          </w:tcPr>
          <w:p>
            <w:pPr>
              <w:spacing w:after="0"/>
              <w:rPr>
                <w:sz w:val="19"/>
                <w:szCs w:val="19"/>
                <w:color w:val="auto"/>
              </w:rPr>
            </w:pPr>
          </w:p>
        </w:tc>
        <w:tc>
          <w:tcPr>
            <w:tcW w:w="1880" w:type="dxa"/>
            <w:vAlign w:val="bottom"/>
            <w:tcBorders>
              <w:top w:val="single" w:sz="8" w:color="CCEEFF"/>
            </w:tcBorders>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CCEEFF"/>
            </w:tcBorders>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8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 and RSAs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197,101</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411,080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w:t>
            </w: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PSUs</w:t>
            </w:r>
          </w:p>
        </w:tc>
        <w:tc>
          <w:tcPr>
            <w:tcW w:w="18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Interests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23,056,868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23,062,320</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23,056,868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23,065,139</w:t>
            </w:r>
          </w:p>
        </w:tc>
      </w:tr>
    </w:tbl>
    <w:p>
      <w:pPr>
        <w:spacing w:after="0" w:line="24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Shares of Class C and Class D common stock do not have economic rights in Tradeweb Markets Inc. and, therefore, are not included in the calculation of basic earnings per share and are not participating securities for purposes of the computation of diluted earnings per share.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Regulatory Capital Requirements</w:t>
      </w:r>
    </w:p>
    <w:p>
      <w:pPr>
        <w:spacing w:after="0" w:line="202"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TWL, DW, TWD and ICDLC are subject to the Uniform Net Capital Rule 15c3-1 under the Exchange Act and certain of the Company's foreign subsidiaries are subject to financial resource requirements from their local regulators. At September 30, 2026 and December 31, 2025, the regulatory capital requirements and regulatory capital for these entities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71"/>
        </w:trPr>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Excess Regulatory</w:t>
            </w: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0" w:type="dxa"/>
            <w:vAlign w:val="bottom"/>
          </w:tcPr>
          <w:p>
            <w:pPr>
              <w:spacing w:after="0"/>
              <w:rPr>
                <w:sz w:val="14"/>
                <w:szCs w:val="14"/>
                <w:color w:val="auto"/>
              </w:rPr>
            </w:pPr>
          </w:p>
        </w:tc>
        <w:tc>
          <w:tcPr>
            <w:tcW w:w="13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Excess Regulatory</w:t>
            </w:r>
          </w:p>
        </w:tc>
      </w:tr>
      <w:tr>
        <w:trPr>
          <w:trHeight w:val="190"/>
        </w:trPr>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0" w:type="dxa"/>
            <w:vAlign w:val="bottom"/>
          </w:tcPr>
          <w:p>
            <w:pPr>
              <w:spacing w:after="0"/>
              <w:rPr>
                <w:sz w:val="16"/>
                <w:szCs w:val="16"/>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Capital</w:t>
            </w:r>
          </w:p>
        </w:tc>
      </w:tr>
      <w:tr>
        <w:trPr>
          <w:trHeight w:val="37"/>
        </w:trPr>
        <w:tc>
          <w:tcPr>
            <w:tcW w:w="15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27"/>
        </w:trPr>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7"/>
        </w:trPr>
        <w:tc>
          <w:tcPr>
            <w:tcW w:w="1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60,183</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257,195</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TWD</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53,021</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61,388</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TWJ</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TWEU</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TESL</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TESBV</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YB</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w:t>
            </w: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TDIFC</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ICDLC</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w:t>
            </w:r>
          </w:p>
        </w:tc>
      </w:tr>
      <w:tr>
        <w:trPr>
          <w:trHeight w:val="260"/>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ICDLT</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r>
      <w:tr>
        <w:trPr>
          <w:trHeight w:val="280"/>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TWSA</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50"/>
        </w:trPr>
        <w:tc>
          <w:tcPr>
            <w:tcW w:w="1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TAPL</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SEFs, TW SEF and DW SEF are required to maintain adequate financial resources and liquid financial assets in accordance with CFTC regulations. The required and maintained financial resources and liquid financial assets at September 30, 2026 and December 31, 2025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
        </w:trPr>
        <w:tc>
          <w:tcPr>
            <w:tcW w:w="15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71"/>
        </w:trPr>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20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Excess Financial</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Financial</w:t>
            </w:r>
          </w:p>
        </w:tc>
        <w:tc>
          <w:tcPr>
            <w:tcW w:w="180" w:type="dxa"/>
            <w:vAlign w:val="bottom"/>
          </w:tcPr>
          <w:p>
            <w:pPr>
              <w:spacing w:after="0"/>
              <w:rPr>
                <w:sz w:val="14"/>
                <w:szCs w:val="14"/>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Excess Financial</w:t>
            </w:r>
          </w:p>
        </w:tc>
      </w:tr>
      <w:tr>
        <w:trPr>
          <w:trHeight w:val="190"/>
        </w:trPr>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4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20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Financial Resources</w:t>
            </w:r>
          </w:p>
        </w:tc>
        <w:tc>
          <w:tcPr>
            <w:tcW w:w="16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80" w:type="dxa"/>
            <w:vAlign w:val="bottom"/>
          </w:tcPr>
          <w:p>
            <w:pPr>
              <w:spacing w:after="0"/>
              <w:rPr>
                <w:sz w:val="16"/>
                <w:szCs w:val="16"/>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Resources</w:t>
            </w:r>
          </w:p>
        </w:tc>
      </w:tr>
      <w:tr>
        <w:trPr>
          <w:trHeight w:val="37"/>
        </w:trPr>
        <w:tc>
          <w:tcPr>
            <w:tcW w:w="15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6"/>
        </w:trPr>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19,000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172,996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50,063</w:t>
            </w:r>
          </w:p>
        </w:tc>
      </w:tr>
      <w:tr>
        <w:trPr>
          <w:trHeight w:val="243"/>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8,914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w:t>
            </w:r>
          </w:p>
        </w:tc>
      </w:tr>
      <w:tr>
        <w:trPr>
          <w:trHeight w:val="517"/>
        </w:trPr>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
        </w:trPr>
        <w:tc>
          <w:tcPr>
            <w:tcW w:w="15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r>
      <w:tr>
        <w:trPr>
          <w:trHeight w:val="171"/>
        </w:trPr>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Required Liquid</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Excess Liquid Financial</w:t>
            </w:r>
          </w:p>
        </w:tc>
      </w:tr>
      <w:tr>
        <w:trPr>
          <w:trHeight w:val="190"/>
        </w:trPr>
        <w:tc>
          <w:tcPr>
            <w:tcW w:w="1520" w:type="dxa"/>
            <w:vAlign w:val="bottom"/>
          </w:tcPr>
          <w:p>
            <w:pPr>
              <w:spacing w:after="0"/>
              <w:rPr>
                <w:sz w:val="16"/>
                <w:szCs w:val="16"/>
                <w:color w:val="auto"/>
              </w:rPr>
            </w:pP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20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Liquid Financial Assets</w:t>
            </w: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Pr>
          <w:p>
            <w:pPr>
              <w:spacing w:after="0"/>
              <w:rPr>
                <w:sz w:val="16"/>
                <w:szCs w:val="16"/>
                <w:color w:val="auto"/>
              </w:rPr>
            </w:pPr>
          </w:p>
        </w:tc>
        <w:tc>
          <w:tcPr>
            <w:tcW w:w="13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37"/>
        </w:trPr>
        <w:tc>
          <w:tcPr>
            <w:tcW w:w="15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27"/>
        </w:trPr>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1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50"/>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 SEF</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4,750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129,354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29,690</w:t>
            </w:r>
          </w:p>
        </w:tc>
      </w:tr>
      <w:tr>
        <w:trPr>
          <w:trHeight w:val="243"/>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 SEF</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2,229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w:t>
            </w:r>
          </w:p>
        </w:tc>
      </w:tr>
    </w:tbl>
    <w:p>
      <w:pPr>
        <w:spacing w:after="0" w:line="2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Business Segment and Geographic Information</w:t>
      </w:r>
    </w:p>
    <w:p>
      <w:pPr>
        <w:spacing w:after="0" w:line="189"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The Company operates electronic marketplaces for the trading of products across the rates, credit, equities and money markets asset classes and provides related pre-trade and post-trade services. Through its electronic marketplaces, the Company facilitates trading by clients across the institutional, wholesale, retail and corporates client sectors and builds comprehensive market data sets that it is able to separately sell to clients, primarily LSEG, as incremental market data revenue. Because of the highly integrated nature of these marketplaces and services and the global financial markets in which the Company competes, the Chief Operating Decision Maker (the “CODM”) reviews financial information on a global consolidated basis for purposes of making operating decisions, allocating resources and evaluating financial performance. As such, the Company has determined it operates as one operating segment and one reportable segment.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Consolidated net income is the measure of segment profit most consistent with U.S. GAAP that is regularly reviewed by the CODM to allocate resources and assess performance. Significant expense categories included in consolidated net income that are regularly provided to the CODM include employee compensation and benefits, technology and communications, general and administrative, professional fees and occupancy, each as presented in the condensed consolidated statements of income.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revenue from external clients by client sector, significant segment expenses and consolidated net income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248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5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5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9"/>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374,600</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317,148</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1,134,880</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947,162</w:t>
            </w: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302,894</w:t>
            </w:r>
          </w:p>
        </w:tc>
      </w:tr>
      <w:tr>
        <w:trPr>
          <w:trHeight w:val="229"/>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105,579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111,504</w:t>
            </w: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69,745</w:t>
            </w:r>
          </w:p>
        </w:tc>
      </w:tr>
      <w:tr>
        <w:trPr>
          <w:trHeight w:val="229"/>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111,087</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99,941</w:t>
            </w: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1,761,255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1,531,246</w:t>
            </w:r>
          </w:p>
        </w:tc>
      </w:tr>
      <w:tr>
        <w:trPr>
          <w:trHeight w:val="229"/>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549,182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511,563</w:t>
            </w: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126,148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92,807</w:t>
            </w: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66,616</w:t>
            </w:r>
          </w:p>
        </w:tc>
      </w:tr>
      <w:tr>
        <w:trPr>
          <w:trHeight w:val="229"/>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38,100</w:t>
            </w: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17,737</w:t>
            </w:r>
          </w:p>
        </w:tc>
      </w:tr>
      <w:tr>
        <w:trPr>
          <w:trHeight w:val="229"/>
        </w:trPr>
        <w:tc>
          <w:tcPr>
            <w:tcW w:w="558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305,702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250,047</w:t>
            </w: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210,549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664,758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554,376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340" w:right="140" w:hanging="332"/>
        <w:spacing w:after="0" w:line="302" w:lineRule="auto"/>
        <w:tabs>
          <w:tab w:leader="none" w:pos="33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include depreciation and amortization, the tax receivable agreement liability adjustment (as applicable), interest income, interest expense, other (income) loss, net and provision for income taxes, each as presented in the condensed consolidated statements of income.</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operates in the U.S. and internationally, primarily in the Europe, Asia and Australia regions. Variable revenues are generally attributed to geographic area based on the jurisdiction where the underlying transactions take place. The attribution of fixed revenues may vary by revenue and contract type. Given the global nature of the financial markets in which we operate and the Company’s clients’ worldwide businesses and contracts, the results by geographic region and allocation of revenues to individual countries are not necessarily meaningful in understanding the Company’s business.</w:t>
      </w:r>
    </w:p>
    <w:p>
      <w:pPr>
        <w:spacing w:after="0" w:line="15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measure of segment assets is reported in the condensed consolidated statements of financial condition as total consolidated assets. Total expenditures for additions to long-lived assets are as reported in the condensed consolidated statements of cash flows. Long-lived assets are attributed to the geographic area based on the location of the particular subsidiary.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revenue by geographic area: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2480" w:type="dxa"/>
            <w:vAlign w:val="bottom"/>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32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3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32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9"/>
        </w:trPr>
        <w:tc>
          <w:tcPr>
            <w:tcW w:w="32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
        </w:trPr>
        <w:tc>
          <w:tcPr>
            <w:tcW w:w="3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326,038</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297,435</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983,566</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893,119</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3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258,507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211,163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777,689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638,127</w:t>
            </w:r>
          </w:p>
        </w:tc>
      </w:tr>
      <w:tr>
        <w:trPr>
          <w:trHeight w:val="223"/>
        </w:trPr>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3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584,545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508,598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1,761,255</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1,531,246</w:t>
            </w:r>
          </w:p>
        </w:tc>
      </w:tr>
      <w:tr>
        <w:trPr>
          <w:trHeight w:val="20"/>
        </w:trPr>
        <w:tc>
          <w:tcPr>
            <w:tcW w:w="3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898"/>
        </w:trPr>
        <w:tc>
          <w:tcPr>
            <w:tcW w:w="3280" w:type="dxa"/>
            <w:vAlign w:val="bottom"/>
          </w:tcPr>
          <w:p>
            <w:pPr>
              <w:spacing w:after="0"/>
              <w:rPr>
                <w:sz w:val="24"/>
                <w:szCs w:val="24"/>
                <w:color w:val="auto"/>
              </w:rPr>
            </w:pPr>
          </w:p>
        </w:tc>
        <w:tc>
          <w:tcPr>
            <w:tcW w:w="2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47</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32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attribution of long-lived assets by geographic area: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1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13"/>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4"/>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4,637,523</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4,737,934</w:t>
            </w:r>
          </w:p>
        </w:tc>
      </w:tr>
      <w:tr>
        <w:trPr>
          <w:trHeight w:val="229"/>
        </w:trPr>
        <w:tc>
          <w:tcPr>
            <w:tcW w:w="8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31,746</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4,676,766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4,769,680</w:t>
            </w:r>
          </w:p>
        </w:tc>
      </w:tr>
      <w:tr>
        <w:trPr>
          <w:trHeight w:val="21"/>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Distributions</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October 29, 2026, the board of directors of Tradeweb Markets Inc. declared a cash dividend of $0.14 per share of Class A common stock and Class B common stock for the fourth quarter of 2026. This dividend will be payable on December 15, 2026 to stockholders of record as of December 1, 2026.</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October 29, 2026, Tradeweb Markets Inc., as the sole manager, approved distributions to be made during the fourth quarter of 2026 by TWM LLC to its equityholders, including Tradeweb Markets Inc., in an aggregate amount of $162.0 million, as adjusted by required state and local tax withholdings that will be determined prior to the record date.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Trumid</w:t>
      </w:r>
    </w:p>
    <w:p>
      <w:pPr>
        <w:spacing w:after="0" w:line="187"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On October 19, 2026, the Company entered into a definitive agreement (the “Trumid Transaction Agreement”) for Tradeweb Markets LLC to acquire directly and indirectly all of the outstanding equity interests of Trumid Holdings, LLC (“Trumid”). Trumid is a financial technology company and electronic trading platform focused on U.S dollar-denominated investment grade, high yield, distressed and emerging market bonds. Trumid’s platform supports trading in bonds prior to their issuance (referred to as “grey market trading”) and early market trading and includes trading protocols, such as RFQ, Attributed Trading and Swarms, a protocol which is designed to bring a group of participants together on the same bond at particular times throughout the day.</w:t>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the terms of the Trumid Transaction Agreement, the total purchase price is $1.97 billion, which will consist of $1.89 billion payable in cash, subject to customary adjustments for cash acquired, indebtedness, net working capital and transaction expenses, and 773,900 LLC Interests (the “Trumid LLC Interests”) and corresponding shares of the Class C common stock, representing per the Trumid Transaction Agreement, $82.0 million in equity based on the volume-weighted average price of the Class A common stock over the five trading days prior to the date of the Trumid Transaction Agreement. The closing of the acquisition is subject to the satisfaction of regulatory approvals as well as other customary closing conditions.</w:t>
      </w:r>
    </w:p>
    <w:p>
      <w:pPr>
        <w:spacing w:after="0" w:line="14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Trumid LLC Interests will be redeemable or exchangeable on a one-for-one basis for shares of the Class A common stock, or at the Company’s option, in cash.</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Trumid Transaction Agreement contains certain termination rights for Tradeweb Markets LLC and Trumid and, subject to certain limitations set forth therein, may be terminated by either Tradeweb Markets LLC or Trumid if the acquisition closing has not occurred on or before October 19, 2027 (as such date may be extended in accordance with the terms of the Trumid Transaction Agreement to a maximum of twenty-four (24) months after the date of the Trumid Transaction Agreement). The acquisition is currently targeted to close in the first half 2027, although no assurance can be given in that regard. In addition, if the Trumid Transaction Agreement is terminated under certain circumstances, Tradeweb Markets LLC will be obligated to pay Trumid a termination fee of $105.0 million.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right="80"/>
        <w:spacing w:after="0" w:line="224"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“Basis of Presentation,” “Use of Non-GAAP Financial Measures” and our unaudited condensed consolidated financial statements and related notes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This discussion contains forward-looking statements that involve risks and uncertainties. Our actual results could differ materially from the results described in or implied by the forward-looking statements. Factors that could cause or contribute to those differences include, but are not limited to, those identified below and those discussed in the section titled “Cautionary Note Regarding Forward-Looking Statements” included elsewhere in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the section titled “Item 1A. Risk Factors” in Part I of the 2025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a leader in building and operating electronic marketplaces for our global network of more than 3,000 clients across the financial ecosystem. Our network is comprised of clients across the institutional, wholesale, retail and corporates client sectors, including many of the largest global asset managers, hedge funds, insurance companies, central banks, banks and dealers, proprietary trading firms, retail brokerage and financial advisory firms, regional dealers and corporations. The Tradeweb platform includes marketplaces that facilitate trading global products across a range of asset classes, including rates, credit, equities and money markets. We are a global company serving clients through offices in North America, South America, Europe, Australia, Asia and the Middle East. We believe our proprietary technology and culture of collaborative innovation allow us to adapt our platform offerings to enter new markets, create new trading marketplaces and solutions and adjust to regulations quickly and efficiently. We support our clients by providing solutions across the trade lifecycle, including pre-trade, execution, post-trade and data and analytics.</w:t>
      </w:r>
    </w:p>
    <w:p>
      <w:pPr>
        <w:spacing w:after="0" w:line="16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institutional client sector serves institutional investors in over 85 countries around the globe and across over 30 currencies. We connect institutional investors with deep pools of liquidity using our flexible order and trading systems. Our clients trust the integrity of our markets and recognize the value they get by trading electronically: enhanced transparency, competitive pricing, efficient trade execution and regulatory compliance.</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our wholesale client sector, we provide a broad range of fully electronic, voice and hybrid trading options to dealers and financial institutions trading on our platform. We entered the wholesale client sector through our acquisitions of the inter-dealer broker Hilliard Farber &amp; Co., Inc. in 2008, and then Rafferty Capital Markets in 2011 and in June 2021, we acquired Nasdaq’s U.S. fixed income electronic trading platform (formerly known as eSpeed) (the “NFI Acquisition”). Today, we actively compete in wholesale trading across a range of rates, credit, money markets, derivatives and equity markets.</w:t>
      </w:r>
    </w:p>
    <w:p>
      <w:pPr>
        <w:spacing w:after="0" w:line="13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our retail client sector, our platform provides advanced trading solutions for financial advisory firms and traders. We entered the retail sector through our acquisition of LeverTrade in 2006 and scaled our retail market position through our acquisition of BondDesk in 2013. Through our platform we provide financial advisory firms access to live offerings, accurate pricing in the retail marketplace and fast execution.</w:t>
      </w:r>
    </w:p>
    <w:p>
      <w:pPr>
        <w:spacing w:after="0" w:line="1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our corporates client sector, we provide comprehensive investment technology and research solutions tailored to the needs of corporate treasury organizations globally. These solutions enable efficient trading of institutional money market funds and other short-term investments. We expanded into the corporates client sector through our acquisition of Institutional Cash Distributors (“ICD”) on August 1, 2024 (the “ICD Acquisition”). The addition of ICD to our platform broadened our product suite, further diversified our client and revenue bases and strengthened our position in the corporate treasury space, enabling us to provide a more comprehensive range of liquidity management tools and services.</w:t>
      </w:r>
    </w:p>
    <w:p>
      <w:pPr>
        <w:spacing w:after="0" w:line="14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markets are large and growing. Electronic trading continues to increase in the markets in which we operate as a result of market demand for greater transparency, higher execution quality, operational efficiency and lower costs, as well as regulatory changes. We believe our deep client relationships, asset class breadth, geographic reach, regulatory knowledge and scalable technology position us to continue to be at the forefront of the evolution of electronic trading. Our platform provides transparent, efficient, cost-effective and compliant trading solutions across multiple products, regions and regulatory regimes. As market participants seek to trade across multiple asset classes, reduce their costs of trading and increase the effectiveness of their trading, including through the use of data and analytics, we believe the demand for our platform and electronic trading solutions will continue to grow.</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Impacting Our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Acquisitions and Investments</w:t>
      </w:r>
    </w:p>
    <w:p>
      <w:pPr>
        <w:spacing w:after="0" w:line="175"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From time to time, we may evaluate potential strategic acquisitions and investments and engage in discussions and negotiations regarding potential acquisitions and investments. Our revenues and profitability are affected by our acquisition activity, including the speed and cost at which we successfully integrate completed consolidated acquisitions into our existing business operations. In addition, our earnings volatility and profitability may be affected by any unrealized or realized gains or losses or income or losses from our Canton Coin holdings or unconsolidated minority equity or debt investments.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Environment</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business is impacted by the overall market activity and, in particular, trading volumes and market volatility. Lower volatility may result in lower trading volume for our clients and may negatively impact our operating performance and financial condition. Factors that may impact market activity during the remainder of 2026 include, among other things, evolving monetary policies of central banks, economic, political and social conditions, global geopolitical tensions, legislative, regulatory or government policy changes, including the recent and potential future changes in tariffs, international trade agreements or trade policies and other potential material changes to prior laws, rules and regulations, guidance and enforcement stances and concerns with respect to the banking industry, including as a result of any bank failures.</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Because the majority of our financial assets are short-term in nature, they are not significantly affected by inflation. However, the rate of inflation may affect our expenses, such as employee compensation and benefits, technology and communication expenses and occupancy costs, which may not be readily recoverable in the prices of our services. We believe any effects of inflation on our results of operations and financial condition have not been significant during any of the periods presented in this Quarterly Report on Form 10-Q. To the extent inflation, along with other factors, continues to result in elevated interest rates and has other adverse effects on the securities markets and the overall economy, it may adversely affect our results of operations and financial condition.</w:t>
      </w:r>
    </w:p>
    <w:p>
      <w:pPr>
        <w:spacing w:after="0" w:line="14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While our business is impacted by the overall activity of the market and market volatility, our revenues consist of a mix of fixed and variable fees that partially mitigates this impact. More importantly, we are actively engaged in the further electronification of trading activities, which will help mitigate this impact as we believe secular growth trends can partially offset market volatility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Environment</w:t>
      </w:r>
    </w:p>
    <w:p>
      <w:pPr>
        <w:spacing w:after="0" w:line="1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Our business is subject to extensive regulations in the United States and internationally, which may expose us to significant regulatory risk and cause additional legal costs to ensure compliance. The existing legal framework that governs the financial markets is periodically reviewed and amended, typically resulting in enforcement of new laws and regulations that apply to our business. The regulatory environment in the United States and abroad may be subject to future legislative and regulatory changes driven by current U.S. and global issues and priorities. Legislative and regulatory changes may include the promulgation of new or revised laws and regulations, or the adoption of changes in the interpretation of or the repeal of existing laws and regulations, or the abandonment of any pending legislative or regulatory proposals. The impact of any changes in the legal or regulatory landscape on us and our operations generally remains uncertain. Compliance with regulations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 and, as a result, our profitability. However, under certain circumstances regulation may increase demand for our platform and solutions, and we believe we are well positioned to benefit from any potential increased electronification due to regulatory changes as market participants seek platforms that meet regulatory requirements and solutions that help them comply with their regulatory obligations. Currently, we believe that uncertainty and potential delays around the final form of certain new rules and regulations may negatively impact our clients and trading volumes in certain markets in which we transact, although a relaxation of or the amendment of existing rules and regulations could potentially have a positive impact on certain markets.</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Environment</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and our competitors compete to introduce innovations in market structure and new electronic trading capabilities. While we endeavor to be a leader in innovation, new trading capabilities of our competitors are also adopted by market participants. On the one hand, this increases liquidity and electronification for all participants, but it also puts pressure on us to further invest in our technology and to innovate to ensure the continued growth of our network of clients and continued improvement of liquidity, electronic processing and pricing on our platform. Our ability to compete is influenced by key factors such as (i) developments in our trading platform and solutions, (ii) the liquidity we provide on transactions, (iii) the transaction costs we incur in providing our solutions, (iv) the efficiency in execution of transactions on our platform, (v) our ability to hire and retain talent, (vi) our ability to pursue strategic acquisitions and alliances and (vii) our ability to maintain the security of our platform and solutions. Our competitive position is also influenced by the familiarity and integration of our clients with our electronic, voice and hybrid systems. When either a client wants to trade in a new product or we want to introduce a new product, trading protocol or other solution, we believe we benefit from our clients’ familiarity with our offerings as well as our integration into their order management systems and back offices.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Cybersecurity Environment</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business and its success are largely impacted by the introduction of increasingly complex and sophisticated technology systems and infrastructures and new business models. Offering specialized trading venues and solutions through the development of new and enhanced platform offerings is essential to maintaining our level of competitiveness in the market and attracting new clients seeking platforms that provide advanced automation and better liquidity. We believe we will continue to increase demand for our platform and solutions and the volume of transactions on our platform, and thereby enhance our client relationships, by responding to new trading and information requirements through utilizing technological advances and emerging industry standards and practices in an effective and efficient way. We plan to continue to focus on and invest in technology infrastructure initiatives and continually improve and expand our platform and solutions to further enhance our market position.</w:t>
      </w:r>
    </w:p>
    <w:p>
      <w:pPr>
        <w:spacing w:after="0" w:line="162"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Environment</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earn revenues, pay expenses, hold assets and incur liabilities in currencies other than the U.S. dollar. Accordingly, fluctuations in foreign currency exchange rates can affect our results of operations from period to period. In particular, fluctuations in exchange rates for non-U.S. dollar currencies may reduce the U.S. dollar value of revenues, earnings and cash flows we receive from non-U.S. markets, increase our operating expenses (as measured in U.S. dollars) in those markets, negatively impact our competitiveness in those markets or otherwise adversely impact our results of operations or financial condition. Future fluctuations of foreign currency exchange rates and their impact on our results of operations and financial condition are inherently uncertain. As we continue to grow the size of our global operations, these fluctuations may be material. See Part I, Item 3. “Quantitative and Qualitative Disclosures About Market Risk — Foreign Currency and Derivative Risk” elsewhere in this Quarterly Report on Form 10-Q, for the change in revenue and operating income caused by fluctuations in foreign currency rates used in translation and realized and unrealized gains/losses from foreign currency remeasurement of transactions in nonfunctional currencies during the three and nine months ended September 30, 2026 and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Trumid</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October 19, 2026, Tradeweb Markets LLC entered into a definitive agreement (the “Trumid Transaction Agreement”) for Tradeweb Markets LLC to acquire directly and indirectly all of the outstanding equity interests of Trumid Holdings, LLC (“Trumid”). See Note 16 – Subsequent Events to our unaudited condensed consolidated financial statements included elsewhere in this Quarterly Report on Form 10-Q for additional information on this pending acquisition.</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Reorganization Transactions, we became the sole manager of TWM LLC. As a result, beginning with the second quarter of 2019, we became subject to U.S. federal, state and local income taxes with respect to our allocable share of any taxable income of TWM LLC and are taxed at prevailing corporate tax rates. Our actual effective tax rate is impacted by our ownership share of TWM LLC, which has increased over time primarily due to Continuing LLC Owners redeeming or exchanging their LLC Interests for shares of Class A common stock or Class B common stock, as applicable, and our purchase of LLC Interests from Continuing LLC Owners. Furthermore, in connection with the IPO, we entered into the Tax Receivable Agreement pursuant to which we began to make payments in January 2021, and we expect future payments to be significant. We intend to continue to cause TWM LLC to make distributions in an amount sufficient to allow us to pay our tax obligations, operating expenses, including payments under the Tax Receivable Agreement, and our quarterly cash dividends, as and when declared by our board of directors.</w:t>
      </w:r>
    </w:p>
    <w:p>
      <w:pPr>
        <w:spacing w:after="0" w:line="1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contains several changes to corporate taxation including modifications to capitalization of research and development expenses, limitations on deductions for interest expense and accelerated fixed asset depreciation. The OBBBA did not have a material impact on the Company’s condensed consolidated statements of financial condition as of September 30, 2026 or December 31, 2025 or the Company’s condensed consolidated statements of income or cash flows for the three and nine months ended September 30, 2026. The Company will continue to evaluate the implications of this legislation on future periods.</w:t>
      </w:r>
    </w:p>
    <w:p>
      <w:pPr>
        <w:spacing w:after="0" w:line="1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The IRA established a 15% corporate alternative minimum tax (“CAMT”) effective for taxable years beginning after December 31, 2022, and imposed a 1% excise tax on the repurchase after December 31, 2022 of stock by publicly traded U.S. corporations. The 1% excise tax did not have a material impact on the Company’s condensed consolidated statements of financial condition as of September 30, 2026 or December 31, 2025 or the Company’s condensed consolidated statements of income or cash flows for the three and nine months ended September 30, 2026 or 2025. The Company is subject to the current 15% CAMT, however, it did not have an impact on the Company’s effective tax rate for the three and nine months ended September 30, 2026 or 2025. The IRA also has not had an impact to our non-GAAP adjusted effective tax rate used for purposes of calculating our non-GAAP measure of Adjusted Net Income for the three and nine months ended September 30, 2026 or 2025.</w:t>
      </w:r>
    </w:p>
    <w:p>
      <w:pPr>
        <w:spacing w:after="0" w:line="16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announced an accord endorsing and providing an implementation plan focused on global profit allocation, and implementing a global minimum tax rate of at least 15% for large multinational corporations on a jurisdiction-by-jurisdiction basis, known as the “Two Pillar Plan.” On December 15, 2022, the European Council formally adopted a European Union directive on the implementation of the plan which became effective for the Company beginning on January 1, 2024. The Company falls under the provisions of the Two Pillar Plan and related tax impacts per local country adoption as it is a consolidating subsidiary of LSEG. The Two Pillar Plan did not have a material impact on the Company’s condensed consolidated statements of financial condition as of September 30, 2026 or December 31, 2025 or the Company’s condensed consolidated statements of income or cash flows for the three and nine months ended September 30, 2026 or 2025. The Company continues to monitor developments related to the global tax reform and is awaiting further legislative updates.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 is derived primarily from transaction fees, commissions, subscription fees and market data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Fees and Commissions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earn transaction fees and/or commissions from transactions executed on our trading platform on both a variable and fixed price basis, which vary by geographic region, product type and trade size. For most of our products, clients pay both fixed minimum monthly transaction fees and variable transaction fees on a per transaction basis in excess of the monthly minimum. Clients may also pay a subscription fee in addition to or instead of the minimum monthly transaction fees. For other products, instead of a minimum monthly transaction fee, clients may pay a fixed transaction fee or only a variable transaction fee on a per transaction basis. We also earn commission revenue from our electronic and voice brokerage services on a riskless principal basis. Riskless principal revenues are derived on matched principal transactions where revenues are earned on the spread between the buy and sell price of the transacted product. For to-be-announced mortgage backed securities (“TBA-MBS”), U.S. Treasury and repurchase agreement transactions executed by our wholesale clients, we also generate revenue from fixed commissions that are generally invoiced monthly.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 variable transaction fees and commissions, we charge clients based on the mix of products traded and the volume of transactions executed. Transaction volume is determined by using a measure of the notional volume of the products traded, a count of the number of trades or, in the case of the ICD Portal, the client’s average daily balance (“ADB”) invested in the money market funds during a calendar month. Because transaction fees and commissions are sometimes subject to plans with tiered pricing based on product mix, volume, monthly minimums and monthly maximum fee caps, average variable fees per million dollars of volume traded generated for a client may vary each month depending on the mix of products and volume traded. Furthermore, because transaction fees and commissions vary by geographic region, product type and trade size, our revenues may not correlate with volume growth. The mix between fixed and variable revenue may change over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Fees</w:t>
      </w:r>
    </w:p>
    <w:p>
      <w:pPr>
        <w:spacing w:after="0" w:line="18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earn subscription fees primarily for granting clients access to our platform for trading and market data. For a limited number of products, we only charge subscription fees and no transaction fees or commissions. Subscription fees are generally charged on a fixed price basis.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purposes of our discussion of our results of operations, we include LSEG market data fees in subscription fees. We earn fixed license fees from our market data license agreement with LSEG. We also earn a revenue share for certain data services which are provided to LSEG and then sold by LSEG to its customers. Our revenue share revenues may fluctuate from period to period depending on the revenue achieved by LSEG during the applicable fee earning period.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line with our digital asset strategy, currently included in our other revenue is revenue earned for performing Super Validator and Validator services on the Canton Network (collectively “Validator Revenue”). For these services, we earn Canton Coins and the number of Canton Coins earned in a particular period is variable based on the Canton Network’s minting curve and burn-mint equilibrium, the amount of time that our nodes are active during any given minting cycle (with new rounds beginning at regular 10 minute intervals throughout each day) in comparison to other network participants, the network designated weight of each of our validators and, beginning in the second quarter of 2026, our elected tier within the long-term locking commitment framework for Super Validators. Validator Revenue is recognized based on the fair value of each Canton Coin at contract inception, which has been deemed to be the start of each validation round, and therefore Validator Revenue will also vary based on any changes in the fair value of the Canton Coin, which may be highly volatile. As our digital asset strategy continues to evolve, in the future, we may also begin earning revenue from applications developed on the Canton Network.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Employee compensation and benefits expense consists of wages, employee benefits, bonuses, commissions, stock-based compensation cost and related taxes. Factors that influence employee compensation and benefits expense include revenue and earnings growth, hiring or acquiring new employees and trading activity which generates broker commissions. We expect employee compensation and benefits expense to increase as we hire or acquire additional employees to support revenue and earnings growth. As a result, employee compensation and benefits can vary from period to period.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0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costs relating to the depreciation and amortization of acquired and internally developed software, other intangible assets, leasehold improvements, furniture and equipment.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of travel and entertainment, marketing, value-added taxes, state use taxes, foreign currency transaction gains and losses, gains and losses on foreign exchange derivative contracts entered into for foreign exchange risk management purposes relating to operating activities, charitable contributions, other administrative expenses and credit loss expense. We expect general and administrative expense to increase as we expand the number of our employees and product offerings and grow our operations.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Communications</w:t>
      </w:r>
    </w:p>
    <w:p>
      <w:pPr>
        <w:spacing w:after="0" w:line="20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Technology and communications expense consists of costs relating to software and hardware maintenance, including software subscription and usage fees, including for generative artificial intelligence (“AI”) tools, our internal network connections, data center costs, clearance and other trading platform related transaction costs and data feeds provided by third-party service providers, including LSEG. Factors that influence technology and communications expense include trading volumes and our investments in innovation, AI, data strategy and cybersecurity.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Fees</w:t>
      </w:r>
    </w:p>
    <w:p>
      <w:pPr>
        <w:spacing w:after="0" w:line="18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Professional fees consist primarily of accounting, tax and legal fees and fees paid to technology and software consultants to maintain our platform and infrastructure, as well as costs related to business acquisition transactions.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Occupancy</w:t>
      </w:r>
    </w:p>
    <w:p>
      <w:pPr>
        <w:spacing w:after="0" w:line="18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Occupancy expense consists of operating lease rent and related costs for office space and data centers leased in North America, South America, Europe, Australia, Asia and the Middle East. We expect occupancy expense to increase as our space needs grow in line with our global expansion.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 Liability Adjustment</w:t>
      </w:r>
    </w:p>
    <w:p>
      <w:pPr>
        <w:spacing w:after="0" w:line="20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tax receivable agreement liability adjustment reflects changes in the tax receivable agreement liability recorded in our condensed consolidated statements of financial condition as a result of changes in the mix of earnings, tax legislation and tax rates in various jurisdictions which impacted our estimated future tax savings. There was no tax receivable agreement liability adjustment during each of the three and nine months ended September 30, 2026 and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Interest income consists primarily of interest earned from our cash deposited with large commercial banks and money market funds, as well as interest earned from any investments in available-for-sale debt securities.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any interest expense incurred or payable on our tax receivable agreement liability, commitment fees payable on, and, if applicable, interest payable on any borrowings outstanding under our credit facility and amortization of deferred financing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Other income (loss), net consists of any income or loss earned from investments, any mark-to-market adjustments or impairments recorded on investments, any unrealized and realized gain/loss on foreign exchange derivative contracts entered into for foreign exchange risk management purposes relating to investing activities and any other non-operating items. Other income (loss), net may vary period over period based on any changes in the fair value of the Canton Coin, which may be highly volatile.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U.S. federal, state and local income taxes with respect to our taxable income, including our allocable share of any taxable income of TWM LLC, and are taxed at prevailing corporate tax rates. TWM LLC is a multiple member limited liability company taxed as a partnership and accordingly any taxable income generated by TWM LLC is passed through to and included in the taxable income of its members, including to us. Income taxes also include unincorporated business taxes on income earned or losses incurred for conducting business in certain state and local jurisdictions, income taxes on income earned or losses incurred in foreign jurisdictions on certain operations and federal and state income taxes on income earned or losses incurred, both current and deferred, on subsidiaries that are taxed as corporations for U.S. tax purposes.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the sole manager of TWM LLC. As a result of this control, and because we have a substantial financial interest in TWM LLC, we consolidate the financial results of TWM LLC and report a non-controlling interest in our condensed consolidated financial statements, representing the economic interests of TWM LLC held by Continuing LLC Owners. Income or loss is attributed to the non-controlling interests based on the relative ownership percentages of LLC Interests held during the period by us and any Continuing LLC Owners.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LLC Interests held by Continuing LLC Owners are redeemable in accordance with the TWM LLC Agreement, at the election of such holders, for newly issued shares of Class A common stock or Class B common stock, as the case may be, on a one-for-one basis. In the event of such election by a Continuing LLC Owner, we may, at our option, effect a direct exchange of Class A common stock or Class B common stock for such LLC Interests of such Continuing LLC Owner in lieu of such redemption. In connection with any redemption or exchange, we will receive a corresponding number of LLC Interests, increasing our total ownership interest in TWM LLC. As of September 30, 2026, we owned 90.1% of TWM LLC and Continuing LLC Owners owned the remaining 9.9% of TWM LLC.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September 30, 2026 and September 30,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statements of income for the three months ended September 30, 2026 and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0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0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584,545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508,598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32,888</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(20,678)</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(65,098)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for the three months ended September 30, 2026 and 2025, and the resulting dollar and percentage changes,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4"/>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3"/>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500" w:type="dxa"/>
            <w:vAlign w:val="bottom"/>
          </w:tcPr>
          <w:p>
            <w:pPr>
              <w:spacing w:after="0"/>
              <w:rPr>
                <w:sz w:val="13"/>
                <w:szCs w:val="13"/>
                <w:color w:val="auto"/>
              </w:rPr>
            </w:pPr>
          </w:p>
        </w:tc>
        <w:tc>
          <w:tcPr>
            <w:tcW w:w="72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 of Total</w:t>
            </w:r>
          </w:p>
        </w:tc>
        <w:tc>
          <w:tcPr>
            <w:tcW w:w="220" w:type="dxa"/>
            <w:vAlign w:val="bottom"/>
          </w:tcPr>
          <w:p>
            <w:pPr>
              <w:spacing w:after="0"/>
              <w:rPr>
                <w:sz w:val="13"/>
                <w:szCs w:val="13"/>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2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5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4"/>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491,797</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84.1 %</w:t>
            </w:r>
          </w:p>
        </w:tc>
        <w:tc>
          <w:tcPr>
            <w:tcW w:w="8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421,309</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82.8 %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70,488</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Subscription fees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87,949</w:t>
            </w:r>
          </w:p>
        </w:tc>
        <w:tc>
          <w:tcPr>
            <w:tcW w:w="154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81,364</w:t>
            </w:r>
          </w:p>
        </w:tc>
        <w:tc>
          <w:tcPr>
            <w:tcW w:w="154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5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5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48"/>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584,545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508,598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total revenue growth:</w:t>
            </w: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Constant currency change </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2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 growth</w:t>
            </w: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the three months ended September 30, 2026 and 2025 include $26.5 million and $20.5 million, respectively, of LSEG market data fees.</w:t>
      </w:r>
    </w:p>
    <w:p>
      <w:pPr>
        <w:spacing w:after="0" w:line="27" w:lineRule="exact"/>
        <w:rPr>
          <w:rFonts w:ascii="Times New Roman" w:cs="Times New Roman" w:eastAsia="Times New Roman" w:hAnsi="Times New Roman"/>
          <w:sz w:val="14"/>
          <w:szCs w:val="14"/>
          <w:color w:val="auto"/>
        </w:rPr>
      </w:pPr>
    </w:p>
    <w:p>
      <w:pPr>
        <w:ind w:left="340" w:right="300" w:hanging="332"/>
        <w:spacing w:after="0" w:line="268" w:lineRule="auto"/>
        <w:tabs>
          <w:tab w:leader="none" w:pos="33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19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Our third quarter 2026 results reflected growing momentum across our global business, against a backdrop of rising yields, shifting interest rate expectations and elevated issuance. As investors navigate a rapidly changing fixed income landscape, they are increasingly looking to technology and a broader range of trading protocols to execute efficiently and manage risk. The primary driver of the $75.9 million increase in revenue was related to a $70.5 million increase in transaction fees and commissions to $491.8 million for the three months ended September 30, 2026 from $421.3 million for the three months ended September 30, 2025, primarily due to higher revenues for rates derivatives products, U.S. government bonds, U.S. corporate bonds, U.S. exchange traded funds (“ ETFs”), credit and equity derivative products and European government bonds.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by asset class for the three months ended September 30, 2026 and 2025, and the resulting dollar and percentage changes,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gridSpan w:val="3"/>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8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324,459</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274,497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132,990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584,545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508,598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75,947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asset class for the three months ended September 30, 2026 and 2025,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80" w:type="dxa"/>
            <w:vAlign w:val="bottom"/>
          </w:tcPr>
          <w:p>
            <w:pPr>
              <w:spacing w:after="0"/>
              <w:rPr>
                <w:sz w:val="16"/>
                <w:szCs w:val="16"/>
                <w:color w:val="auto"/>
              </w:rPr>
            </w:pPr>
          </w:p>
        </w:tc>
        <w:tc>
          <w:tcPr>
            <w:tcW w:w="7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6"/>
                <w:szCs w:val="16"/>
                <w:color w:val="auto"/>
              </w:rPr>
            </w:pPr>
          </w:p>
        </w:tc>
        <w:tc>
          <w:tcPr>
            <w:tcW w:w="15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249,080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203,409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2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441,967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132,827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 significant percentage of our transaction fees and commissions are tied directly to overall trading volumes in the rates, credit, equities and money markets asset classes. The average daily volumes and total volumes on our trading platform by asset class for the three months ended September 30, 2026 and 2025, and the resulting percentage changes, are summarized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ADV</w:t>
            </w: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ADV</w:t>
            </w:r>
          </w:p>
        </w:tc>
        <w:tc>
          <w:tcPr>
            <w:tcW w:w="24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4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ADV</w:t>
            </w:r>
          </w:p>
        </w:tc>
        <w:tc>
          <w:tcPr>
            <w:tcW w:w="240" w:type="dxa"/>
            <w:vAlign w:val="bottom"/>
          </w:tcPr>
          <w:p>
            <w:pPr>
              <w:spacing w:after="0"/>
              <w:rPr>
                <w:sz w:val="16"/>
                <w:szCs w:val="16"/>
                <w:color w:val="auto"/>
              </w:rPr>
            </w:pPr>
          </w:p>
        </w:tc>
        <w:tc>
          <w:tcPr>
            <w:tcW w:w="11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4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1,948,129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125,463,492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1,455,555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93,809,148</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33.8 %</w:t>
            </w: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Rates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38,724,328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34,306,862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86,739,164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59,502,286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Swaps / Swaptions Tenor (≥ 1 year)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43,744,073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30,811,252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Rates Derivatives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42,995,091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28,691,034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3,940,476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2,720,174</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45.0 %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Credit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721,616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Derivatives, China Bonds and U.S. Cash EP</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3,067,930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1,998,558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1,918,039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1,677,007</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Equities Cash</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763,746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Equities Derivatives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913,262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Money Markets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1,114,211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78,994,808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1,051,615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74,615,933</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6.0 %</w:t>
            </w:r>
          </w:p>
        </w:tc>
        <w:tc>
          <w:tcPr>
            <w:tcW w:w="0" w:type="dxa"/>
            <w:vAlign w:val="bottom"/>
          </w:tcPr>
          <w:p>
            <w:pPr>
              <w:spacing w:after="0"/>
              <w:rPr>
                <w:sz w:val="1"/>
                <w:szCs w:val="1"/>
                <w:color w:val="auto"/>
              </w:rPr>
            </w:pPr>
          </w:p>
        </w:tc>
      </w:tr>
      <w:tr>
        <w:trPr>
          <w:trHeight w:val="256"/>
        </w:trPr>
        <w:tc>
          <w:tcPr>
            <w:tcW w:w="4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3,153,074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210,316,816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2,575,256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172,822,263</w:t>
            </w:r>
          </w:p>
        </w:tc>
        <w:tc>
          <w:tcPr>
            <w:tcW w:w="15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excluding Other Rates Derivatives </w:t>
            </w:r>
            <w:r>
              <w:rPr>
                <w:rFonts w:ascii="Times New Roman" w:cs="Times New Roman" w:eastAsia="Times New Roman" w:hAnsi="Times New Roman"/>
                <w:sz w:val="23"/>
                <w:szCs w:val="23"/>
                <w:b w:val="1"/>
                <w:bCs w:val="1"/>
                <w:color w:val="auto"/>
                <w:vertAlign w:val="superscript"/>
              </w:rPr>
              <w:t>(3)</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16.7 %</w:t>
            </w:r>
          </w:p>
        </w:tc>
        <w:tc>
          <w:tcPr>
            <w:tcW w:w="0" w:type="dxa"/>
            <w:vAlign w:val="bottom"/>
          </w:tcPr>
          <w:p>
            <w:pPr>
              <w:spacing w:after="0" w:line="20" w:lineRule="exact"/>
              <w:rPr>
                <w:sz w:val="1"/>
                <w:szCs w:val="1"/>
                <w:color w:val="auto"/>
              </w:rPr>
            </w:pPr>
          </w:p>
        </w:tc>
      </w:tr>
      <w:tr>
        <w:trPr>
          <w:trHeight w:val="272"/>
        </w:trPr>
        <w:tc>
          <w:tcPr>
            <w:tcW w:w="4080" w:type="dxa"/>
            <w:vAlign w:val="bottom"/>
            <w:vMerge w:val="continue"/>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2,487,109</w:t>
            </w:r>
          </w:p>
        </w:tc>
        <w:tc>
          <w:tcPr>
            <w:tcW w:w="8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167,321,725</w:t>
            </w:r>
          </w:p>
        </w:tc>
        <w:tc>
          <w:tcPr>
            <w:tcW w:w="10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2,131,104</w:t>
            </w:r>
          </w:p>
        </w:tc>
        <w:tc>
          <w:tcPr>
            <w:tcW w:w="10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144,131,229</w:t>
            </w:r>
          </w:p>
        </w:tc>
        <w:tc>
          <w:tcPr>
            <w:tcW w:w="156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Swaps/Swaptions of tenor less than 1 year and Rates Futures.</w:t>
      </w:r>
    </w:p>
    <w:p>
      <w:pPr>
        <w:spacing w:after="0" w:line="17" w:lineRule="exact"/>
        <w:rPr>
          <w:rFonts w:ascii="Times New Roman" w:cs="Times New Roman" w:eastAsia="Times New Roman" w:hAnsi="Times New Roman"/>
          <w:sz w:val="14"/>
          <w:szCs w:val="14"/>
          <w:color w:val="auto"/>
        </w:rPr>
      </w:pPr>
    </w:p>
    <w:p>
      <w:pPr>
        <w:ind w:left="340" w:right="220" w:hanging="332"/>
        <w:spacing w:after="0" w:line="259" w:lineRule="auto"/>
        <w:tabs>
          <w:tab w:leader="none" w:pos="33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Credit” category represents the “Credit” asset class excluding (1) Credit Derivatives (2) China Bonds and (3) U.S. High Grade and High Yield electronically processed (“EP”) activity.</w:t>
      </w:r>
    </w:p>
    <w:p>
      <w:pPr>
        <w:ind w:left="320" w:hanging="312"/>
        <w:spacing w:after="0"/>
        <w:tabs>
          <w:tab w:leader="none" w:pos="3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to contextualize the impact of short-tenored Swaps/Swaptions and Rates Futures on totals for all periods presented.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average variable fees per million dollars of volume traded on our trading platform by asset class for the three months ended September 30, 2026 and 2025 are summarized below. There are four potential drivers of quarterly fluctuations in our average variable fees per million: (1) the mix and duration of cash and derivatives products traded, (2) the mix of protocols underpinning cash and derivatives products, (3) volume discounts and (4) clients moving between fixed and variable pricing structures. Average variable fees per million should be reviewed in conjunction with our trading volumes and total revenue by asset class. Since variable fees are sometimes subject to fee plans with tiered pricing based on product mix and volume, average variable fees per million for a specific asset class may not correlate with volumes or revenue growth.</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Rates Cash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Rates Derivatives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Rates Derivatives (≥ 1 year)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Rates Derivatives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Credit </w:t>
            </w:r>
            <w:r>
              <w:rPr>
                <w:rFonts w:ascii="Times New Roman" w:cs="Times New Roman" w:eastAsia="Times New Roman" w:hAnsi="Times New Roman"/>
                <w:sz w:val="23"/>
                <w:szCs w:val="23"/>
                <w:color w:val="auto"/>
                <w:vertAlign w:val="superscript"/>
              </w:rPr>
              <w:t>(2)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114.85</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Derivatives, China Bonds and U.S. Cash EP</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15.1 %</w:t>
            </w:r>
          </w:p>
        </w:tc>
        <w:tc>
          <w:tcPr>
            <w:tcW w:w="0" w:type="dxa"/>
            <w:vAlign w:val="bottom"/>
          </w:tcPr>
          <w:p>
            <w:pPr>
              <w:spacing w:after="0"/>
              <w:rPr>
                <w:sz w:val="1"/>
                <w:szCs w:val="1"/>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Equities Cash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Equities Derivatives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Money Markets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312"/>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excluding Other Rates Derivatives </w:t>
            </w:r>
            <w:r>
              <w:rPr>
                <w:rFonts w:ascii="Times New Roman" w:cs="Times New Roman" w:eastAsia="Times New Roman" w:hAnsi="Times New Roman"/>
                <w:sz w:val="23"/>
                <w:szCs w:val="23"/>
                <w:b w:val="1"/>
                <w:bCs w:val="1"/>
                <w:color w:val="auto"/>
                <w:vertAlign w:val="superscript"/>
              </w:rPr>
              <w:t>(3)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8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2.54</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Swaps/Swaptions of tenor less than 1 year and Rates Futures.</w:t>
      </w:r>
    </w:p>
    <w:p>
      <w:pPr>
        <w:spacing w:after="0" w:line="16" w:lineRule="exact"/>
        <w:rPr>
          <w:rFonts w:ascii="Times New Roman" w:cs="Times New Roman" w:eastAsia="Times New Roman" w:hAnsi="Times New Roman"/>
          <w:sz w:val="14"/>
          <w:szCs w:val="14"/>
          <w:color w:val="auto"/>
        </w:rPr>
      </w:pPr>
    </w:p>
    <w:p>
      <w:pPr>
        <w:ind w:left="340" w:right="220" w:hanging="332"/>
        <w:spacing w:after="0" w:line="254" w:lineRule="auto"/>
        <w:tabs>
          <w:tab w:leader="none" w:pos="3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Credit” category represents the “Credit” asset class excluding (1) Credit Derivatives (2) China Bonds and (3) U.S. High Grade and High Yield electronically processed (“EP”) activity.</w:t>
      </w: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to contextualize the impact of short-tenored Swaps/Swaptions and Rates Futures on blended fees per million across all periods presented.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drivers of the change in total revenue, volumes and variable fees per million by asset class are summarized as follows:</w:t>
      </w:r>
    </w:p>
    <w:p>
      <w:pPr>
        <w:spacing w:after="0" w:line="25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Revenues from our rates asset class increased by $50.0 million or 18.2% to $324.5 million for the three months ended September 30, 2026 compared to $274.5 million for the three months ended September 30, 2025 primarily due to higher variable transaction fees and commissions on higher trading volumes for rates derivatives products and U.S. government bonds.</w:t>
      </w:r>
    </w:p>
    <w:p>
      <w:pPr>
        <w:spacing w:after="0" w:line="13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Average variable fees per million for rates decreased primarily due to a decrease in average variable fees per million for rates derivatives driven primarily by shifts in the mix and duration of derivative products traded.</w:t>
      </w:r>
    </w:p>
    <w:p>
      <w:pPr>
        <w:spacing w:after="0" w:line="203"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Revenues from our credit asset class increased by $11.7 million or 9.6% to $133.0 million for the three months ended September 30, 2026 compared to $121.3 million for the three months ended September 30, 2025 primarily due to higher variable transaction fees and commissions on higher trading volumes for U.S. corporate bonds, credit derivatives products, municipals and other credit bonds.</w:t>
      </w:r>
    </w:p>
    <w:p>
      <w:pPr>
        <w:spacing w:after="0" w:line="136"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Average variable fees per million for credit decreased primarily due to a mix shift away from European corporate bonds and municipal bonds, which both have a higher variable fee capture compared to overall credit and towards credit derivatives, which have a lower variable fee capture compared to overall credit.</w:t>
      </w:r>
    </w:p>
    <w:p>
      <w:pPr>
        <w:spacing w:after="0" w:line="217"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u w:val="single" w:color="auto"/>
          <w:color w:val="auto"/>
        </w:rPr>
        <w:t>Equities</w:t>
      </w:r>
      <w:r>
        <w:rPr>
          <w:rFonts w:ascii="Times New Roman" w:cs="Times New Roman" w:eastAsia="Times New Roman" w:hAnsi="Times New Roman"/>
          <w:sz w:val="18"/>
          <w:szCs w:val="18"/>
          <w:color w:val="auto"/>
        </w:rPr>
        <w:t>. Revenues from our equities asset class increased by $8.6 million or 28.8% to $38.4 million for the three months ended September 30, 2026 compared to $29.8 million for the three months ended September 30, 2025 primarily due to higher variable transaction fees and commissions on higher trading volumes for U.S. and international ETFs and equity derivative products.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Average variable fees per million for equities increased primarily due to a mix shift towards cash equities, which have a higher variable fee capture compared to overall equities and away from equity derivatives, which have a lower variable fee capture compared to overall equities.</w:t>
      </w:r>
    </w:p>
    <w:p>
      <w:pPr>
        <w:spacing w:after="0" w:line="13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u w:val="single" w:color="auto"/>
          <w:color w:val="auto"/>
        </w:rPr>
        <w:t>Money Markets</w:t>
      </w:r>
      <w:r>
        <w:rPr>
          <w:rFonts w:ascii="Times New Roman" w:cs="Times New Roman" w:eastAsia="Times New Roman" w:hAnsi="Times New Roman"/>
          <w:sz w:val="18"/>
          <w:szCs w:val="18"/>
          <w:color w:val="auto"/>
        </w:rPr>
        <w:t>. Revenues from our money markets asset class were relatively flat at $44.2 million for the three months ended September 30, 2026 an increase of $1.3 million or 3.0% compared to $42.9 million for the three months ended September 30, 2025.</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Average variable fees per million for money markets decreased primarily due to a mix shift away from certificates of deposit, which have a higher variable fee capture compared to overall money markets.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asset class increased by $6.1 million or 19.6% to $36.9 million for the three months ended September 30, 2026 compared to $30.8 million for the three months ended September 30, 2025. The increase was primarily due to amendments to our LSEG market data license agreement which were effective in November 2025. The amended market data license agreement included higher overall fees and a change in the timing of the delivery of periodic historical data sets, with more frequent deliveries scheduled under the amended agreement and a corresponding increase in revenue during the third quarter of 2026.</w:t>
      </w:r>
    </w:p>
    <w:p>
      <w:pPr>
        <w:spacing w:after="0" w:line="1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Revenues from our other asset class decreased by $1.6 million or 17.3% to $7.6 million for the three months ended September 30, 2026 compared to $9.2 million for the three months ended September 30, 2025 primarily due to lower digital asset revenue earned for performing validation services on the Canton Network, driven by scheduled changes in the Canton Network’s minting curve and its allocation of rewards to Super Validators and lower software development and implementation revenue on behalf of certain clients.</w:t>
      </w:r>
    </w:p>
    <w:p>
      <w:pPr>
        <w:spacing w:after="0" w:line="13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generate revenue from a diverse portfolio of client sectors. Our total revenue by client sector for the three months ended September 30, 2026 and 2025, and the resulting dollar and percentage changes,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374,600</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317,148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110,514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584,545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u w:val="single" w:color="auto"/>
          <w:color w:val="auto"/>
        </w:rPr>
        <w:t>Institutional</w:t>
      </w:r>
      <w:r>
        <w:rPr>
          <w:rFonts w:ascii="Times New Roman" w:cs="Times New Roman" w:eastAsia="Times New Roman" w:hAnsi="Times New Roman"/>
          <w:sz w:val="18"/>
          <w:szCs w:val="18"/>
          <w:color w:val="auto"/>
        </w:rPr>
        <w:t>. Revenues from our institutional client sector increased by $57.5 million or 18.1% to $374.6 million for the three months ended September 30, 2026 compared to $317.1 million for the three months ended September 30, 2025. The increase was derived primarily from higher revenues for rates derivatives products, U.S. and international ETFs, credit derivatives products and U.S., European and other government bonds.</w:t>
      </w:r>
    </w:p>
    <w:p>
      <w:pPr>
        <w:spacing w:after="0" w:line="183"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u w:val="single" w:color="auto"/>
          <w:color w:val="auto"/>
        </w:rPr>
        <w:t>Wholesale</w:t>
      </w:r>
      <w:r>
        <w:rPr>
          <w:rFonts w:ascii="Times New Roman" w:cs="Times New Roman" w:eastAsia="Times New Roman" w:hAnsi="Times New Roman"/>
          <w:sz w:val="18"/>
          <w:szCs w:val="18"/>
          <w:color w:val="auto"/>
        </w:rPr>
        <w:t>. Revenues from our wholesale client sector increased by $11.1 million or 11.2% to $110.5 million for the three months ended September 30, 2026 compared to $99.4 million for the three months ended September 30, 2025. The increase was derived primarily from higher revenues for U.S. government bonds, U.S. corporate bonds, equity and rates derivatives products and repurchase agreements.</w:t>
      </w:r>
    </w:p>
    <w:p>
      <w:pPr>
        <w:spacing w:after="0" w:line="15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u w:val="single" w:color="auto"/>
          <w:color w:val="auto"/>
        </w:rPr>
        <w:t>Retail</w:t>
      </w:r>
      <w:r>
        <w:rPr>
          <w:rFonts w:ascii="Times New Roman" w:cs="Times New Roman" w:eastAsia="Times New Roman" w:hAnsi="Times New Roman"/>
          <w:sz w:val="18"/>
          <w:szCs w:val="18"/>
          <w:color w:val="auto"/>
        </w:rPr>
        <w:t>. Revenues from our retail client sector increased by $1.1 million or 2.8% to $39.1 million for the three months ended September 30, 2026 compared to $38.0 million for the three months ended September 30, 2025. The increase was derived primarily from higher revenues for municipals.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u w:val="single" w:color="auto"/>
          <w:color w:val="auto"/>
        </w:rPr>
        <w:t>Corporates.</w:t>
      </w:r>
      <w:r>
        <w:rPr>
          <w:rFonts w:ascii="Times New Roman" w:cs="Times New Roman" w:eastAsia="Times New Roman" w:hAnsi="Times New Roman"/>
          <w:sz w:val="18"/>
          <w:szCs w:val="18"/>
          <w:color w:val="auto"/>
        </w:rPr>
        <w:t xml:space="preserve"> Revenues from our corporates client sector were relatively flat at $23.5 million for the three months ended September 30, 2026 an increase of $0.2 million or 1.0% compared to $23.2 million for the three months ended September 30,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client sector increased by $6.1 million or 19.6% to $36.9 million for the three months ended September 30, 2026 compared to $30.8 million for the three months ended September 30, 2025. The increase was primarily due to amendments to our LSEG market data license agreement which were effective in November 2025. The amended market data license agreement included higher overall fees and a change in the timing of the delivery of periodic historical data sets, with more frequent deliveries scheduled under the amended agreement and a corresponding increase in revenue during the third quarter of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and client base are also diversified by geography. Our total revenue by geography (based on client location)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and the resulting dollar and percentage changes,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326,038</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297,435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258,507</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211,163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584,545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508,598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75,947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Revenues from U.S. clients increased by $28.6 million or 9.6% to $326.0 million for the three months ended September 30, 2026 compared to $297.4 million for the three months ended September 30, 2025 primarily due to higher revenues for U.S. government bonds, U.S. ETFs, U.S. corporate bonds, LSEG market data fees and rates and credit derivatives products.</w:t>
      </w:r>
    </w:p>
    <w:p>
      <w:pPr>
        <w:spacing w:after="0" w:line="217"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Revenues from international clients increased by $47.3 million or 22.4% to $258.5 million for the three months ended September 30, 2026 compared to $211.2 million for the three months ended September 30, 2025 primarily due to higher revenues for rates derivatives products, LSEG market data fees, U.S. and other government bonds, credit derivatives products and international ETFs.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for the three months ended September 30, 2026 and 2025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72.1 %</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Employee Compensation and Benefits</w:t>
      </w:r>
      <w:r>
        <w:rPr>
          <w:rFonts w:ascii="Times New Roman" w:cs="Times New Roman" w:eastAsia="Times New Roman" w:hAnsi="Times New Roman"/>
          <w:sz w:val="18"/>
          <w:szCs w:val="18"/>
          <w:color w:val="auto"/>
        </w:rPr>
        <w:t>. Expenses related to employee compensation and benefits increased by $13.9 million or 8.4% to $178.9 million for the three months ended September 30, 2026 compared to $165.0 million for the three months ended September 30, 2025. The increase was primarily due to an increase in incentive compensation expense tied to our financial performance and an increase in headcount and related salaries, benefits and stock-based compensation associated with our continued growth. As of September 30, 2026, December 31, 2025 and September 30, 2025, we had 1,661, 1,569 and 1,566 employees globally,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Expenses related to depreciation and amortization decreased by $2.0 million or 3.2% to $62.3 million for the three months ended September 30, 2026 compared to $64.4 million for the three months ended September 30, 2025. The decrease was primarily due to content and data intangible assets recognized in connection with the 2018 Refinitiv Transaction that were fully amortized as of the end of the third quarter of 2025, partially offset by an increase in amortization of software development costs driven by increases in investment in our infrastructure and the relocation of our New York City corporate headquarters during September 2025.</w:t>
      </w:r>
    </w:p>
    <w:p>
      <w:pPr>
        <w:spacing w:after="0" w:line="15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u w:val="single" w:color="auto"/>
          <w:color w:val="auto"/>
        </w:rPr>
        <w:t>Technology and Communications</w:t>
      </w:r>
      <w:r>
        <w:rPr>
          <w:rFonts w:ascii="Times New Roman" w:cs="Times New Roman" w:eastAsia="Times New Roman" w:hAnsi="Times New Roman"/>
          <w:sz w:val="18"/>
          <w:szCs w:val="18"/>
          <w:color w:val="auto"/>
        </w:rPr>
        <w:t>. Expenses related to technology and communications increased by $10.8 million or 31.8% to $44.6 million for the three months ended September 30, 2026 compared to $33.9 million for the three months ended September 30, 2025. The increase was primarily due to increased investment in our AI and data strategy and infrastructure, as well as higher data and clearance fees, which were driven primarily by higher trading volumes period-over-period.</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Expenses related to general and administrative costs were relatively flat at $17.3 million for the three months ended September 30, 2026, an increase of $0.4 million or 2.6% compared to $16.9 million for the three months ended September 30, 2025. The increase was primarily due to an increase in travel and entertainment and other costs to support our continued growth which was offset by a $3.3 million increase in foreign exchange gains during the three months ended September 30, 2026 compared to the prior year period. Realized and unrealized foreign currency gains totaled $3.6 million during the three months ended September 30, 2026 as compared to $0.3 million in gains during the three months ended September 30, 2025.</w:t>
      </w:r>
    </w:p>
    <w:p>
      <w:pPr>
        <w:spacing w:after="0" w:line="1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Professional Fees</w:t>
      </w:r>
      <w:r>
        <w:rPr>
          <w:rFonts w:ascii="Times New Roman" w:cs="Times New Roman" w:eastAsia="Times New Roman" w:hAnsi="Times New Roman"/>
          <w:sz w:val="18"/>
          <w:szCs w:val="18"/>
          <w:color w:val="auto"/>
        </w:rPr>
        <w:t>. Expenses related to professional fees increased by $8.3 million or 72.1% to $19.8 million for the three months ended September 30, 2026 compared to $11.5 million for the three months ended September 30, 2025, primarily due to higher technology consulting expenses and an increase in professional fees primarily related to mergers and acquisitions and other strategic investing activities.</w:t>
      </w:r>
    </w:p>
    <w:p>
      <w:pPr>
        <w:spacing w:after="0" w:line="149"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u w:val="single" w:color="auto"/>
          <w:color w:val="auto"/>
        </w:rPr>
        <w:t>Occupancy</w:t>
      </w:r>
      <w:r>
        <w:rPr>
          <w:rFonts w:ascii="Times New Roman" w:cs="Times New Roman" w:eastAsia="Times New Roman" w:hAnsi="Times New Roman"/>
          <w:sz w:val="17"/>
          <w:szCs w:val="17"/>
          <w:color w:val="auto"/>
        </w:rPr>
        <w:t>. Expenses related to occupancy costs increased by $1.5 million or 22.9% to $8.2 million for the three months ended September 30, 2026 compared to $6.6 million for the three months ended September 30, 2025. The increase was primarily due to higher office and data center rent expense associated with our global expansion, including the commencement in September 2025 of the lease for our new corporate headquarters in New York City.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Interest income decreased by $2.0 million or 9.8% to $18.4 million for the three months ended September 30, 2026 compared to $20.3 million for the three months ended September 30, 2025 primarily due to interest earned on a federal income tax refund received during the three months ended September 30, 2025 and a decrease in the average interest rates earned period-over-period, partially offset by an increase in our average invested cash balance.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remained flat at $0.5 million for the three months ended September 30, 2026 and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20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Other income was $18.7 million for the three months ended September 30, 2026, primarily due to the reclassification of $27.5 million of unrealized gains from accumulated other comprehensive income into other income upon the July 1, 2026 conversion of the Company’s convertible note into publicly traded common shares of SECZ and $14.4 million in unrealized gains on a minority equity investment without a readily determinable fair value, based on the price from observable transactions of similar investments of the same issuers, partially offset by a $24.0 million unrealized loss relating to a decrease in fair value of our Canton Coin holdings. Other income was $39.4 million for the three months ended September 30, 2025, primarily due to realized and unrealized gains on Canton Coin holdings, which totaled $43.2 million, partially offset by a $3.8 million loss due to impairments of minority equity investments.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Income tax expense increased by $6.0 million or 10.2% to $65.1 million for the three months ended September 30, 2026 compared to $59.1 million for the three months ended September 30, 2025. The provision for income taxes includes U.S. federal, state, local and foreign taxes. The effective tax rate for the three months ended September 30, 2026 was approximately 22.4%, compared with 21.9% for the three months ended September 30, 2025. The effective tax rate for the three months ended September 30, 2026 differed from the U.S. federal statutory rate of 21.0% primarily due to state, local and foreign taxes and the disallowance of compensation expense tax deductions, partially offset by the effect of non-controlling interests, the Foreign-Derived Deduction Eligible Income (“FDDEI”) deduction and a return-to-provision adjustment. The effective tax rate for the three months ended September 30, 2025 differed from the U.S. federal statutory rate of 21.0% primarily due to state, local and foreign taxes and the disallowance of compensation expense tax deductions, partially offset by the effect of non-controlling interests, the dividends received deduction and the FDDEI deduction.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September 30, 2026 and September 30,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statements of income for the nine months ended September 30, 2026 and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gridSpan w:val="3"/>
          </w:tcPr>
          <w:p>
            <w:pPr>
              <w:jc w:val="center"/>
              <w:ind w:left="4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1,761,255</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1,531,246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975,310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916,921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58,389</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785,945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171,620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0" w:type="dxa"/>
            <w:vAlign w:val="bottom"/>
          </w:tcPr>
          <w:p>
            <w:pPr>
              <w:spacing w:after="0"/>
              <w:rPr>
                <w:sz w:val="1"/>
                <w:szCs w:val="1"/>
                <w:color w:val="auto"/>
              </w:rPr>
            </w:pPr>
          </w:p>
        </w:tc>
      </w:tr>
      <w:tr>
        <w:trPr>
          <w:trHeight w:val="27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53,955</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24,864</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(31,442)</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863,113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(198,355)</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(34,469)</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664,758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80,699</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14,123</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584,059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for the nine months ended September 30, 2026 and 2025, and the resulting dollar and percentage changes,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4"/>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3"/>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8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460" w:type="dxa"/>
            <w:vAlign w:val="bottom"/>
          </w:tcPr>
          <w:p>
            <w:pPr>
              <w:spacing w:after="0"/>
              <w:rPr>
                <w:sz w:val="13"/>
                <w:szCs w:val="13"/>
                <w:color w:val="auto"/>
              </w:rPr>
            </w:pPr>
          </w:p>
        </w:tc>
        <w:tc>
          <w:tcPr>
            <w:tcW w:w="78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3"/>
              </w:rPr>
              <w:t>% of Total</w:t>
            </w:r>
          </w:p>
        </w:tc>
        <w:tc>
          <w:tcPr>
            <w:tcW w:w="22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6"/>
        </w:trPr>
        <w:tc>
          <w:tcPr>
            <w:tcW w:w="2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46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4"/>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fees and commissions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1,480,965</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84.1 %</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1,272,421</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83.1 %</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208,544</w:t>
            </w: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Subscription fees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263,184</w:t>
            </w:r>
          </w:p>
        </w:tc>
        <w:tc>
          <w:tcPr>
            <w:tcW w:w="154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244,027</w:t>
            </w:r>
          </w:p>
        </w:tc>
        <w:tc>
          <w:tcPr>
            <w:tcW w:w="156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19,157</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17,106</w:t>
            </w:r>
          </w:p>
        </w:tc>
        <w:tc>
          <w:tcPr>
            <w:tcW w:w="15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15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1,761,255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1,531,246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total revenue growth:</w:t>
            </w: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Constant currency change </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23"/>
        </w:trPr>
        <w:tc>
          <w:tcPr>
            <w:tcW w:w="2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 growth</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fees for the nine months ended September 30, 2026 and 2025 include $79.8 million and $70.0 million, respectively, of LSEG market data fees.</w:t>
      </w:r>
    </w:p>
    <w:p>
      <w:pPr>
        <w:spacing w:after="0" w:line="27" w:lineRule="exact"/>
        <w:rPr>
          <w:rFonts w:ascii="Times New Roman" w:cs="Times New Roman" w:eastAsia="Times New Roman" w:hAnsi="Times New Roman"/>
          <w:sz w:val="14"/>
          <w:szCs w:val="14"/>
          <w:color w:val="auto"/>
        </w:rPr>
      </w:pPr>
    </w:p>
    <w:p>
      <w:pPr>
        <w:ind w:left="340" w:right="300" w:hanging="332"/>
        <w:spacing w:after="0" w:line="268" w:lineRule="auto"/>
        <w:tabs>
          <w:tab w:leader="none" w:pos="33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revenue change, which is a non-GAAP financial measure, is defined as total revenue change excluding the effects of foreign currency fluctuations. Total revenue excluding the effects of foreign currency fluctuations is calculated by translating the current period and prior period’s total revenue using the annual average exchange rates for the prior period. We use constant currency change as a supplemental metric to evaluate our underlying total revenue performance between periods by removing the impact of foreign currency fluctuations. We believe that providing constant currency change provides a useful comparison of our total revenue performance and trends between periods.</w:t>
      </w:r>
    </w:p>
    <w:p>
      <w:pPr>
        <w:spacing w:after="0" w:line="15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primary driver of the $230.0 million increase in revenue related to a $208.5 million increase in transaction fees and commissions to $1.5 billion for the nine months ended September 30, 2026 from $1.3 billion for the nine months ended September 30, 2025, primarily due to higher revenues for rates derivatives products, U.S. government bonds, credit derivatives products, U.S. corporate bonds, U.S. and international ETFs, mortgages and equity derivatives products.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revenue by asset class for the nine months ended September 30, 2026 and 2025, and the resulting dollar and percentage changes,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gridSpan w:val="3"/>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8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971,121</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814,446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156,675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399,608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118,620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135,256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111,087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25,563</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1,761,255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1,531,246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480" w:type="dxa"/>
            <w:vAlign w:val="bottom"/>
          </w:tcPr>
          <w:p>
            <w:pPr>
              <w:spacing w:after="0"/>
              <w:rPr>
                <w:sz w:val="24"/>
                <w:szCs w:val="24"/>
                <w:color w:val="auto"/>
              </w:rPr>
            </w:pP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variable and fixed revenues by asset class for the nine months ended September 30, 2026 and 2025,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3"/>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280" w:type="dxa"/>
            <w:vAlign w:val="bottom"/>
          </w:tcPr>
          <w:p>
            <w:pPr>
              <w:spacing w:after="0"/>
              <w:rPr>
                <w:sz w:val="16"/>
                <w:szCs w:val="16"/>
                <w:color w:val="auto"/>
              </w:rPr>
            </w:pPr>
          </w:p>
        </w:tc>
        <w:tc>
          <w:tcPr>
            <w:tcW w:w="7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6"/>
                <w:szCs w:val="16"/>
                <w:color w:val="auto"/>
              </w:rPr>
            </w:pPr>
          </w:p>
        </w:tc>
        <w:tc>
          <w:tcPr>
            <w:tcW w:w="15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8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Fixed</w:t>
            </w:r>
          </w:p>
        </w:tc>
        <w:tc>
          <w:tcPr>
            <w:tcW w:w="0" w:type="dxa"/>
            <w:vAlign w:val="bottom"/>
          </w:tcPr>
          <w:p>
            <w:pPr>
              <w:spacing w:after="0"/>
              <w:rPr>
                <w:sz w:val="1"/>
                <w:szCs w:val="1"/>
                <w:color w:val="auto"/>
              </w:rPr>
            </w:pPr>
          </w:p>
        </w:tc>
      </w:tr>
      <w:tr>
        <w:trPr>
          <w:trHeight w:val="37"/>
        </w:trPr>
        <w:tc>
          <w:tcPr>
            <w:tcW w:w="2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748,826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222,295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605,509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208,937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143,317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110,854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1,336,819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424,436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1,138,643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392,603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198,176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key drivers of the change in total revenue by asset class are summarized as follows:</w:t>
      </w:r>
    </w:p>
    <w:p>
      <w:pPr>
        <w:spacing w:after="0" w:line="18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u w:val="single" w:color="auto"/>
          <w:color w:val="auto"/>
        </w:rPr>
        <w:t>Rates</w:t>
      </w:r>
      <w:r>
        <w:rPr>
          <w:rFonts w:ascii="Times New Roman" w:cs="Times New Roman" w:eastAsia="Times New Roman" w:hAnsi="Times New Roman"/>
          <w:sz w:val="18"/>
          <w:szCs w:val="18"/>
          <w:color w:val="auto"/>
        </w:rPr>
        <w:t>. Revenues from our rates asset class increased by $156.7 million or 19.2% to $971.1 million for the nine months ended September 30, 2026 compared to $814.4 million for the nine months ended September 30, 2025 primarily due to higher variable transaction fees and commissions on higher trading volumes for rates derivatives products, U.S., European and other government bonds and mortgages.</w:t>
      </w:r>
    </w:p>
    <w:p>
      <w:pPr>
        <w:spacing w:after="0" w:line="13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Revenues from our credit asset class increased by $30.0 million or 8.1% to $399.6 million for the nine months ended September 30, 2026 compared to $369.6 million for the nine months ended September 30, 2025 primarily due to higher variable transaction fees and commissions on higher trading volumes for credit derivatives products and U.S. and European corporate bonds and other credit bonds. There was also an increase in fixed revenues primarily driven by certain market participants for U.S. corporate bonds switching during 2025 from fully variable pricing plans to pricing plans that include minimum fee floors or subscription fees, resulting in a shift of a portion of revenues from variable to fixed revenue.</w:t>
      </w:r>
    </w:p>
    <w:p>
      <w:pPr>
        <w:spacing w:after="0" w:line="15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u w:val="single" w:color="auto"/>
          <w:color w:val="auto"/>
        </w:rPr>
        <w:t>Equities</w:t>
      </w:r>
      <w:r>
        <w:rPr>
          <w:rFonts w:ascii="Times New Roman" w:cs="Times New Roman" w:eastAsia="Times New Roman" w:hAnsi="Times New Roman"/>
          <w:sz w:val="18"/>
          <w:szCs w:val="18"/>
          <w:color w:val="auto"/>
        </w:rPr>
        <w:t>. Revenues from our equities asset class increased by $23.1 million or 24.2% to $118.6 million for the nine months ended September 30, 2026 compared to $95.5 million for the nine months ended September 30, 2025 primarily due to higher variable transaction fees and commissions on higher trading volumes for U.S. and international ETFs and equity derivatives products.</w:t>
      </w:r>
    </w:p>
    <w:p>
      <w:pPr>
        <w:spacing w:after="0" w:line="13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u w:val="single" w:color="auto"/>
          <w:color w:val="auto"/>
        </w:rPr>
        <w:t>Money Markets</w:t>
      </w:r>
      <w:r>
        <w:rPr>
          <w:rFonts w:ascii="Times New Roman" w:cs="Times New Roman" w:eastAsia="Times New Roman" w:hAnsi="Times New Roman"/>
          <w:sz w:val="18"/>
          <w:szCs w:val="18"/>
          <w:color w:val="auto"/>
        </w:rPr>
        <w:t>. Revenues from our money markets asset class increased by $7.0 million or 5.5% to $135.3 million for the nine months ended September 30, 2026 compared to $128.2 million for the nine months ended September 30, 2025 primarily due to higher variable transaction fees and commissions earned on higher average daily balances of money market fund investments made through the ICD Portal and higher trading volumes for repurchase agreements.</w:t>
      </w:r>
    </w:p>
    <w:p>
      <w:pPr>
        <w:spacing w:after="0" w:line="1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asset class increased by $11.1 million or 11.2% to $111.1 million for the nine months ended September 30, 2026 compared to $99.9 million for the nine months ended September 30, 2025. The increase was primarily due to amendments to our LSEG market data license agreement which were effective in November 2025, as well as growth in our proprietary market data revenues. The amended market data license agreement included higher overall fees that were partially offset by a change in the timing of the delivery of periodic historical data sets, with more frequent deliveries scheduled under the amended agreement and a corresponding decrease in revenue during the nine months ended September 30, 2026. Under the previous agreement, $8.4 million of revenue was recognized from the periodic delivery of historical data sets delivered and recognized all in January 2025, as compared to quarterly delivery of historical data sets under the amended agreement beginning in the first quarter of 2026, resulting in $6.7 million of revenue recognized during the nine months ended September 30, 2026.</w:t>
      </w:r>
    </w:p>
    <w:p>
      <w:pPr>
        <w:spacing w:after="0" w:line="16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Revenues from our other asset class increased by $2.1 million or 8.8% to $25.6 million for the nine months ended September 30, 2026 compared to $23.5 million for the nine months ended September 30, 2025 primarily due to an increase in digital asset revenue earned for performing validation services on the Canton Network.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generate revenue from a diverse portfolio of client sectors. Our total revenue by client sector for the nine months ended September 30, 2026 and 2025, and the resulting dollar and percentage changes,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
                <w:szCs w:val="2"/>
                <w:color w:val="auto"/>
              </w:rPr>
            </w:pPr>
          </w:p>
        </w:tc>
        <w:tc>
          <w:tcPr>
            <w:tcW w:w="14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1,134,880</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947,162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187,718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335,710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105,579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73,999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111,087</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11,146</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1,761,255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u w:val="single" w:color="auto"/>
          <w:color w:val="auto"/>
        </w:rPr>
        <w:t>Institutional</w:t>
      </w:r>
      <w:r>
        <w:rPr>
          <w:rFonts w:ascii="Times New Roman" w:cs="Times New Roman" w:eastAsia="Times New Roman" w:hAnsi="Times New Roman"/>
          <w:sz w:val="18"/>
          <w:szCs w:val="18"/>
          <w:color w:val="auto"/>
        </w:rPr>
        <w:t>. Revenues from our institutional client sector increased by $187.7 million or 19.8% to $1.1 billion for the nine months ended September 30, 2026 compared to $947.2 million for the nine months ended September 30, 2025. The increase was derived primarily from higher revenues for rates and credit derivatives products, U.S. and European government bonds, U.S. and international ETFs and mortgages.</w:t>
      </w:r>
    </w:p>
    <w:p>
      <w:pPr>
        <w:spacing w:after="0" w:line="13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u w:val="single" w:color="auto"/>
          <w:color w:val="auto"/>
        </w:rPr>
        <w:t>Wholesale</w:t>
      </w:r>
      <w:r>
        <w:rPr>
          <w:rFonts w:ascii="Times New Roman" w:cs="Times New Roman" w:eastAsia="Times New Roman" w:hAnsi="Times New Roman"/>
          <w:sz w:val="18"/>
          <w:szCs w:val="18"/>
          <w:color w:val="auto"/>
        </w:rPr>
        <w:t>. Revenues from our wholesale client sector increased by $32.8 million or 10.8% to $335.7 million for the nine months ended September 30, 2026 compared to $302.9 million for the nine months ended September 30, 2025. The increase was derived primarily from higher revenues for U.S. corporate bonds, U.S. government bonds, European corporate bonds, repurchase agreements and equity derivative products.</w:t>
      </w:r>
    </w:p>
    <w:p>
      <w:pPr>
        <w:spacing w:after="0" w:line="20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t>Retail</w:t>
      </w:r>
      <w:r>
        <w:rPr>
          <w:rFonts w:ascii="Times New Roman" w:cs="Times New Roman" w:eastAsia="Times New Roman" w:hAnsi="Times New Roman"/>
          <w:sz w:val="18"/>
          <w:szCs w:val="18"/>
          <w:color w:val="auto"/>
        </w:rPr>
        <w:t>. Revenues from our retail client sector decreased by $5.9 million or 5.3% to $105.6 million for the nine months ended September 30, 2026 compared to $111.5 million for the nine months ended September 30, 2025. The decrease was derived primarily from lower revenues for U.S. corporate bonds, other money markets, U.S. government bonds and municipals, partially offset by higher revenues for structured notes.</w:t>
      </w:r>
    </w:p>
    <w:p>
      <w:pPr>
        <w:spacing w:after="0" w:line="1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u w:val="single" w:color="auto"/>
          <w:color w:val="auto"/>
        </w:rPr>
        <w:t>Corporates.</w:t>
      </w:r>
      <w:r>
        <w:rPr>
          <w:rFonts w:ascii="Times New Roman" w:cs="Times New Roman" w:eastAsia="Times New Roman" w:hAnsi="Times New Roman"/>
          <w:sz w:val="18"/>
          <w:szCs w:val="18"/>
          <w:color w:val="auto"/>
        </w:rPr>
        <w:t xml:space="preserve"> Revenues from our corporates client sector increased by $4.3 million or 6.1% to $74.0 million for the nine months ended September 30, 2026 compared to $69.7 million for the nine months ended September 30, 2025. The primary driver of the increase was higher commissions earned on higher average daily balances of money market fund investments made through the ICD Portal.</w:t>
      </w:r>
    </w:p>
    <w:p>
      <w:pPr>
        <w:spacing w:after="0" w:line="1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Market Data</w:t>
      </w:r>
      <w:r>
        <w:rPr>
          <w:rFonts w:ascii="Times New Roman" w:cs="Times New Roman" w:eastAsia="Times New Roman" w:hAnsi="Times New Roman"/>
          <w:sz w:val="18"/>
          <w:szCs w:val="18"/>
          <w:color w:val="auto"/>
        </w:rPr>
        <w:t>. Revenues from our market data client sector increased by $11.1 million or 11.2% to $111.1 million for the nine months ended September 30, 2026 compared to $99.9 million for the nine months ended September 30, 2025. The increase was primarily due to amendments to our LSEG market data license agreement which were effective in November 2025, as well as growth in our proprietary market data revenues. The amended market data license agreement included higher overall fees that were partially offset by a change in the timing of the delivery of periodic historical data sets, with more frequent deliveries scheduled under the amended agreement and a corresponding decrease in revenue during the nine months ended September 30, 2026. Under the previous agreement, $8.4 million of revenue was recognized from the periodic delivery of historical data sets delivered and recognized all in January 2025, as compared to quarterly delivery of historical data sets under the amended agreement beginning in the first quarter of 2026, resulting in $6.7 million of revenue recognized during the nine months ended September 30, 2026.</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and client base are also diversified by geography. Our total revenue by geography (based on client location)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and the resulting dollar and percentage changes,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983,566</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893,119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777,689</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638,127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139,562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1,761,255</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1,531,246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230,009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Revenues from U.S. clients increased by $90.4 million or 10.1% to $983.6 million for the nine months ended September 30, 2026 compared to $893.1 million for the nine months ended September 30, 2025 primarily due to higher revenues for rates derivatives products, U.S. government bonds, U.S. ETFs, U.S. corporate bonds, mortgages and LSEG market data fees.</w:t>
      </w:r>
    </w:p>
    <w:p>
      <w:pPr>
        <w:spacing w:after="0" w:line="203"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u w:val="single" w:color="auto"/>
          <w:color w:val="auto"/>
        </w:rPr>
        <w:t>International</w:t>
      </w:r>
      <w:r>
        <w:rPr>
          <w:rFonts w:ascii="Times New Roman" w:cs="Times New Roman" w:eastAsia="Times New Roman" w:hAnsi="Times New Roman"/>
          <w:sz w:val="18"/>
          <w:szCs w:val="18"/>
          <w:color w:val="auto"/>
        </w:rPr>
        <w:t>. Revenues from international clients increased by $139.6 million or 21.9% to $777.7 million for the nine months ended September 30, 2026 compared to $638.1 million for the nine months ended September 30, 2025 primarily due to higher revenues for rates and credit derivatives products, international ETFs, European and other government bonds, European corporate bonds and LSEG market data fees.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expenses for the nine months ended September 30, 2026 and 2025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2"/>
                <w:szCs w:val="2"/>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37,619</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u w:val="single" w:color="auto"/>
          <w:color w:val="auto"/>
        </w:rPr>
        <w:t>Employee Compensation and Benefits</w:t>
      </w:r>
      <w:r>
        <w:rPr>
          <w:rFonts w:ascii="Times New Roman" w:cs="Times New Roman" w:eastAsia="Times New Roman" w:hAnsi="Times New Roman"/>
          <w:sz w:val="18"/>
          <w:szCs w:val="18"/>
          <w:color w:val="auto"/>
        </w:rPr>
        <w:t>. Expenses related to employee compensation and benefits increased by $37.6 million or 7.4% to $549.2 million for the nine months ended September 30, 2026 compared to $511.6 million for the nine months ended September 30, 2025. The increase was primarily due to an increase in headcount and related salaries, benefits and equity compensation associated with our continued growth.</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u w:val="single" w:color="auto"/>
          <w:color w:val="auto"/>
        </w:rPr>
        <w:t>Depreciation and Amortization</w:t>
      </w:r>
      <w:r>
        <w:rPr>
          <w:rFonts w:ascii="Times New Roman" w:cs="Times New Roman" w:eastAsia="Times New Roman" w:hAnsi="Times New Roman"/>
          <w:sz w:val="18"/>
          <w:szCs w:val="18"/>
          <w:color w:val="auto"/>
        </w:rPr>
        <w:t>. Expenses related to depreciation and amortization decreased $5.6 million or 2.9% to $184.5 million for the nine months ended September 30, 2026 compared to $190.1 million for the nine months ended September 30, 2025. The decrease was primarily due to content and data intangible assets recognized in connection with the 2018 Refinitiv Transaction that were fully amortized as of the end of the third quarter of 2025, partially offset by an increase in amortization of software development costs driven by increases in investment in our infrastructure and the relocation of our New York City corporate headquarters during September 2025.</w:t>
      </w:r>
    </w:p>
    <w:p>
      <w:pPr>
        <w:spacing w:after="0" w:line="143"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u w:val="single" w:color="auto"/>
          <w:color w:val="auto"/>
        </w:rPr>
        <w:t>Technology and Communications</w:t>
      </w:r>
      <w:r>
        <w:rPr>
          <w:rFonts w:ascii="Times New Roman" w:cs="Times New Roman" w:eastAsia="Times New Roman" w:hAnsi="Times New Roman"/>
          <w:sz w:val="18"/>
          <w:szCs w:val="18"/>
          <w:color w:val="auto"/>
        </w:rPr>
        <w:t>. Expenses related to technology and communications increased by $33.3 million or 35.9% to $126.1 million for the nine months ended September 30, 2026 compared to $92.8 million for the nine months ended September 30, 2025. The increase was primarily due to increased investment in our AI and data strategy and infrastructure, as well as higher data and clearance fees, which were driven primarily by higher trading volumes period-over-period.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Expenses related to general and administrative costs decreased by $20.7 million or 31.1% to $45.9 million for the nine months ended September 30, 2026 compared to $66.6 million for the nine months ended September 30, 2025. The decrease was primarily due to a $29.8 million decrease in foreign exchange losses during the nine months ended September 30, 2026 compared to the prior year period. Realized and unrealized foreign currency gains totaled $12.0 million during the nine months ended September 30, 2026 as compared to $17.9 million in losses during the nine months ended September 30, 2025. The change was primarily driven by the change in fair value of our foreign currency forward contracts used in connection with our foreign currency risk management program, partially offset by a decrease in foreign currency re-measurement gains on transactions in nonfunctional currencies. The overall decrease in general and administrative expenses was partially offset by an increase in travel and entertainment costs to support our continued growth.</w:t>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Professional Fees</w:t>
      </w:r>
      <w:r>
        <w:rPr>
          <w:rFonts w:ascii="Times New Roman" w:cs="Times New Roman" w:eastAsia="Times New Roman" w:hAnsi="Times New Roman"/>
          <w:sz w:val="18"/>
          <w:szCs w:val="18"/>
          <w:color w:val="auto"/>
        </w:rPr>
        <w:t>. Expenses related to professional fees increased by $6.7 million or 17.7% to $44.8 million for the nine months ended September 30, 2026 compared to $38.1 million for the nine months ended September 30, 2025, primarily due to higher technology consulting expenses.</w:t>
      </w:r>
    </w:p>
    <w:p>
      <w:pPr>
        <w:spacing w:after="0" w:line="121"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u w:val="single" w:color="auto"/>
          <w:color w:val="auto"/>
        </w:rPr>
        <w:t>Occupancy</w:t>
      </w:r>
      <w:r>
        <w:rPr>
          <w:rFonts w:ascii="Times New Roman" w:cs="Times New Roman" w:eastAsia="Times New Roman" w:hAnsi="Times New Roman"/>
          <w:sz w:val="17"/>
          <w:szCs w:val="17"/>
          <w:color w:val="auto"/>
        </w:rPr>
        <w:t>. Expenses related to occupancy costs increased by $7.0 million or 39.5% to $24.7 million for the nine months ended September 30, 2026 compared to $17.7 million for the nine months ended September 30, 2025. The increase was primarily due to higher office and data center rent expense associated with our global expansion, including the commencement in September 2025 of the lease for our new corporate headquarters in New York City.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0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Interest income increased by $4.8 million or 9.7% to $54.0 million for the nine months ended September 30, 2026 compared to $49.2 million for the nine months ended September 30, 2025 primarily due to an increase in our average invested cash balance. The increase was partially offset by a decrease in the average interest rates earned period-over-period and interest earned on a federal income tax refund received during the nine months ended September 30,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Interest expense was relatively flat at $1.7 million for the nine months ended September 30, 2026 compared $1.5 million for the nine months ended September 30,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(Loss), Net</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Other income was $24.9 million for the nine months ended September 30, 2026 primarily due to $41.0 million in unrealized gains on minority equity investments without readily determinable fair values, based on the price from observable transactions of similar investments of the same issuers and the reclassification of $27.5 million of unrealized gains from accumulated other comprehensive income into other income upon the July 1, 2026 conversion of the Company’s convertible note into publicly traded common shares of SECZ, partially offset by a $42.0 million unrealized loss relating to a decrease in fair value of our Canton Coin holdings and a $1.5 million loss from our equity method investments. Other income was $56.3 million for the nine months ended September 30, 2025 primarily due to realized and unrealized gains on our Canton Coin holdings, which totaled $65.5 million, partially offset by a $9.2 million loss due to the impairments on a minority equity investments.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Income tax expense increased by $34.5 million or 21.0% to $198.4 million for the nine months ended September 30, 2026 compared to $163.9 million for the nine months ended September 30, 2025. The provision for income taxes includes U.S. federal, state, local, and foreign taxes. The effective tax rate for the nine months ended September 30, 2026 was approximately 23.0%, compared with 22.8% for the nine months ended September 30, 2025. The effective tax rate for the nine months ended September 30, 2026 differed from the U.S. federal statutory rate of 21.0% primarily due to state, local and foreign taxes and the disallowance of compensation expense tax deductions, partially offset by the effect of non-controlling interests, the FDDEI deduction and a return-to-provision adjustment. The effective tax rate for the nine months ended September 30, 2025 differed from the U.S. federal statutory rate of 21.0% primarily due to state, local and foreign taxes and the disallowance of compensation expense tax deductions, partially offset by the effect of non-controlling interests, the dividends received deduction and the FDDEI deduction.</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While inflation may impact our revenues and operating expenses, we believe the effects of inflation, if any, on our results of operations and financial condition have not been significant during each of the three and nine months ended September 30, 2026 and 2025. However, there can be no assurance that our results of operations and financial condition will not be materially impacted by inflation in the future. See “— Trends and Other Factors Impacting Our Performance — Economic Environment”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to meet operating expenses, debt service, acquisitions, other commitments and contractual obligations. We consider liquidity in terms of cash on hand, cash flows from operations and availability under the 2023 Revolving Credit Facility (as defined below in “— Factors Influencing Our Liquidity and Capital Resources — Indebtedness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and their sufficiency to fund our operating and investing activities.</w:t>
      </w:r>
    </w:p>
    <w:p>
      <w:pPr>
        <w:spacing w:after="0" w:line="13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Historically, we have generated significant cash flows from operations and have funded our business operations through cash on hand and cash flows from operations.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primary cash needs are for day to day operations, working capital requirements, clearing margin requirements, capital expenditures primarily for software and equipment, our expected dividend payments and our share repurchase program. In addition, we are obligated to make payments under the Tax Receivable Agreement and, upon closing, to fund the cash component of the purchase consideration relating to the pending acquisition of Trumid.</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expect to fund our short and long-term liquidity requirements through cash and cash equivalents and cash flows from operations. While historically we have generated significant and adequate cash flows from operations, we may from time to time also fund our liquidity requirements through borrowings under the 2023 Revolving Credit Facility.</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and, if necessary, borrowings under the 2023 Revolving Credit Facility, will be sufficient to fund our liquidity requirements for at least the next 12 months. However, our future liquidity requirements could be higher than we currently expect as a result of various factors. For example, any future investments, acquisitions, joint ventures or other similar transactions, which we consider from time to time, may reduce our cash balance or require additional capital. In addition, our ability to continue to meet our future liquidity requirements will depend on, among other things, our ability to achieve anticipated levels of revenues and cash flows from operations and our ability to manage costs and working capital successfully, all of which are subject to general economic, financial, competitive and other factors beyond our control. In the event we require any additional capital, it will take the form of equity or debt financing, or both, and there can be no assurance that we will be able to raise any such financing on terms acceptable to us or at all.</w:t>
      </w:r>
    </w:p>
    <w:p>
      <w:pPr>
        <w:spacing w:after="0" w:line="15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of both September 30, 2026 and December 31, 2025, we had cash and cash equivalents of approximately $2.1 billion. All cash and cash equivalents were held in accounts with financial institutions or money market funds such that the funds are immediately available or in fixed term deposits or investments with a maximum maturity of three months. See Item 3. “Quantitative and Qualitative Disclosures About Market Risk — Credit Risk.”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Influencing Our 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Subject to legally available funds, we intend to pay quarterly cash dividends on our Class A common stock and Class B common stock equal to $0.14 per share. As discussed below, our ability to pay these quarterly cash dividends on our Class A common stock and Class B common stock will depend on distributions to us from TWM LLC.</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declaration, amount and payment of any dividends will be at the sole discretion of our board of directors and will depend on our and our subsidiaries’ results of operations, capital requirements, financial condition, business prospects, contractual restrictions, restrictions imposed by applicable laws and other factors that our board of directors deem relevant. Because we are a holding company and all of our business is conducted through our subsidiaries, we expect to pay dividends, if any, only from funds we receive from our subsidiaries. Accordingly, our ability to pay dividends to our stockholders is dependent on the earnings and distributions of funds from our subsidiaries. As the sole manager of TWM LLC, we intend to cause, and will rely on, TWM LLC to make distributions in respect of LLC Interests to fund our dividends. If TWM LLC is unable to cause these subsidiaries to make distributions, it may have inadequate funds to distribute to us and we may be unable to fund our dividends. In addition, when TWM LLC makes distributions to us, the other holders of LLC Interests will be entitled to receive proportionate distributions based on their economic interests in TWM LLC at the time of such distributions.</w:t>
      </w:r>
    </w:p>
    <w:p>
      <w:pPr>
        <w:spacing w:after="0" w:line="16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board of directors will periodically review the cash generated from our business and the capital expenditures required to finance our growth plans and determine whether to modify the amount of regular dividends and/or declare any periodic special dividends. Any future determination to change the amount of dividends and/or declare special dividends will be at the discretion of our board of directors and will be dependent upon then-existing conditions and other factors that our board of directors considers relevant.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Dividends</w:t>
      </w:r>
    </w:p>
    <w:p>
      <w:pPr>
        <w:spacing w:after="0" w:line="18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October 29, 2026, the board of directors of Tradeweb Markets Inc. declared a cash dividend of $0.14 per share of Class A common stock and Class B common stock for the fourth quarter of 2026. This dividend will be payable on December 15, 2026 to stockholders of record as of December 1, 2026.</w:t>
      </w:r>
    </w:p>
    <w:p>
      <w:pPr>
        <w:spacing w:after="0" w:line="13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March, June, and September 2026, Tradeweb Markets Inc. paid quarterly cash dividends to holders of Class A common stock and Class B common stock in an aggregate amount totaling $88.9 million during the nine months ended September 30,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Distributions</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October 29, 2026, Tradeweb Markets Inc., as the sole manager, approved distributions to be made during the fourth quarter of 2026 by TWM LLC to its equityholders, including Tradeweb Markets Inc., in an aggregate amount of $162.0 million, as adjusted by required state and local tax withholdings that will be determined prior to the record date.</w:t>
      </w:r>
    </w:p>
    <w:p>
      <w:pPr>
        <w:spacing w:after="0" w:line="14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March, June, and September 2026, TWM LLC made quarterly cash distributions to its equityholders in an aggregate amount of $143.9 million during the nine months ended September 30, 2026, including distributions to Tradeweb Markets Inc. of $129.8 million and distributions to non-controlling interests of $14.1 million. The proceeds of the cash distributions were used by Tradeweb Markets Inc. to fund dividend payments, taxes and expenses.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187"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The Company’s board of directors has authorized share repurchase programs from time to time, which authorize the repurchase of shares of the Company’s Class A common stock to offset annual dilution from stock-based compensation plans, as well as to opportunistically repurchase the Company’s Class A common stock. Pursuant to these share repurchase programs, the Company may make repurchases in the open market, through privately negotiated transactions, through accelerated repurchase programs (including through the use of derivatives), pursuant to Rule 10b5-1 plans or through enhanced open-market repurchases (eOMR). Any share repurchases are conducted in compliance with applicable legal requirements and the manner, timing and amount of any repurchases are based on an evaluation of market conditions, stock price and other factors. The Company’s share repurchase programs do not require the Company to acquire a specific number of shares, have no termination date and may be suspended, amended or discontinued at any time.</w:t>
      </w:r>
    </w:p>
    <w:p>
      <w:pPr>
        <w:spacing w:after="0" w:line="14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December 5, 2022, the board of directors authorized a share repurchase program for the purchase of up to $300.0 million of our Class A common stock (the “2022 Share Repurchase Program”). On February 5, 2026, the board of directors authorized a new share repurchase program for the purchase of up to $500.0 million of our Class A common stock (the “2026 Share Repurchase Program”), which became available beginning in May 2026, after completing the $300.0 million of total repurchases of the Company’s Class A common stock authorized under the 2022 Share Repurchase Program.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the Company acquired a total of 4,411,484 shares of Class A common stock at an average price of</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$101.88, for purchases totaling $449.5 million, pursuant to the Company’s share repurchase programs. As of September 30, 2026, $124.5 million remained available for repurchase pursuant to the 2026 Share Repurchase Program.</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Share Repurchases</w:t>
      </w:r>
    </w:p>
    <w:p>
      <w:pPr>
        <w:spacing w:after="0" w:line="19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In addition to the share repurchase programs discussed above, we may also withhold shares to cover the payroll tax withholding obligations upon the exercise of stock options and vesting of performance-based restricted stock units that vest based on the Company’s financial performance (“PRSUs”), restricted stock units (“RSUs”) and performance-based restricted stock units that vest based on market conditions (“PSUs”).</w:t>
      </w:r>
    </w:p>
    <w:p>
      <w:pPr>
        <w:spacing w:after="0" w:line="13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withheld 775,605 shares of common stock from employee stock option, PRSU, PSU and RSU awards, at an average price per share of $110.92 and an aggregate value of $86.0 million, based on the price of the Class A common stock on the date the relevant withholding occurred.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obligated to make payments under the Tax Receivable Agreement. See Note 6 – Tax Receivable Agreement to our condensed consolidated financial statements included elsewhere in this Quarterly Report on Form 10-Q for additional details regarding the requirements for these payments. Although the actual timing and amount of any payments that may be made under the Tax Receivable Agreement will vary, we expect the payments required will be significant. Any payments made by us under the Tax Receivable Agreement will generally reduce the amount of overall cash flows that might have otherwise been available to us or to TWM LLC. These payments will offset some of the tax benefits that we expect to realize as a result of the ownership structure of TWM LLC. To the extent that we are unable to make payments under the Tax Receivable Agreement for any reason, the unpaid amounts generally will be deferred and will accrue interest until paid by us. The first payment of the Tax Receivable Agreement was made in January 2021. As of September 30, 2026, total amounts due to Continuing LLC Owners under the Tax Receivable Agreement were $317.5 million, substantially all due to be paid over 15 years following the purchase of LLC Interests from Continuing LLC Owners or redemption or exchanges by Continuing LLC Owners of LLC Interests. As of September 30, 2026, we expect to make tax receivable agreement liability payments of approximately $29.0 million within the next 12 months and approximately $288.5 million thereafter.</w:t>
      </w:r>
    </w:p>
    <w:p>
      <w:pPr>
        <w:spacing w:after="0" w:line="15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to these amounts above, our tax receivable agreement liability and future payments thereunder are expected to increase as we realize (or are deemed to realize) an increase in tax basis of TWM LLC’s assets resulting from any future purchases, redemptions or exchanges of LLC Interests from Continuing LLC Owners. We currently expect to fund these future tax receivable agreement liability payments from some of the realized cash tax savings as a result of this increase in tax basis.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Indebtedness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and December 31, 2025, we had no outstanding indebtedness.</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November 21, 2023, TWM LLC entered into a five year, $500.0 million unsecured revolving credit facility (the “2023 Revolving Credit Facility”) with a syndicate of banks, which replaced its $500.0 million secured credit facility entered into on April 8, 2019. Subject to the satisfaction of certain conditions, we will be able to increase the 2023 Revolving Credit Facility by $250.0 million with the consent of the lenders participating in the increase. The 2023 Revolving Credit Facility provides borrowing capacity to be used to fund ongoing working capital needs, letters of credit and for general corporate purposes, including potential future acquisitions and expansions. As of September 30, 2026, there were $0.5 million in letters of credit issued and no borrowings outstanding under the 2023 Revolving Credit Facility. The 2023 Revolving Credit Facility will mature on November 21, 2028.</w:t>
      </w:r>
    </w:p>
    <w:p>
      <w:pPr>
        <w:spacing w:after="0" w:line="14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credit agreement that governs the 2023 Revolving Credit Facility contains a number of covenants that, among other things and subject to certain exceptions, restrict the ability of (i) TWM LLC to merge or consolidate with other entities, (ii) the subsidiaries of TWM LLC to incur or guarantee indebtedness and (iii) TWM LLC and its subsidiaries to create or incur liens. As of September 30, 2026, we were in compliance with all the covenants set forth in the 2023 Revolving Credit Facility.</w:t>
      </w:r>
    </w:p>
    <w:p>
      <w:pPr>
        <w:spacing w:after="0" w:line="15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See “Item 7. Management’s Discussion and Analysis of Financial Condition and Results of Operations – Liquidity and Capital Resources – Factors Influencing Our Liquidity and Capital Resources – Indebtedness” in Part II of our 2025 Form 10-K for additional details regarding the terms, restrictions and covenants applicable to the 2023 Revolving Credit Facility.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Obligations</w:t>
      </w:r>
    </w:p>
    <w:p>
      <w:pPr>
        <w:spacing w:after="0" w:line="18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currently have operating leases for corporate offices and data centers with initial lease terms ranging from one to 16 years. Our operating lease obligations are primarily related to rental payments under lease agreements for office space in the United States and the United Kingdom through May 2041.</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September 30, 2026, our operating lease liabilities totaled $149.3 million, with payments pursuant to these obligations due within the next 12 months and thereafter totaling $24.4 million and $178.7 million,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business also requires continued investment in our technology for product innovation, proprietary technology architecture, operational reliability and cybersecurity. Excluding cash paid at closing for acquisitions, we expect total cash paid for capital expenditures and software development costs for fiscal year 2026 to be between $107 million and $117 million, compared to expenditures of $103.1 million in fiscal year 2025, with the midpoint of our 2026 capital expenditure guidance up approximately 9% versus fiscal year 2025 primarily driven by platform enhancements, infrastructure modernization and cybersecurity initiatives to support long-term growth.</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we also had $5.0 million in unfunded capital commitments to our equity method investment.</w:t>
      </w:r>
    </w:p>
    <w:p>
      <w:pPr>
        <w:spacing w:after="0" w:line="198"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On October 19, 2026, Tradeweb Markets LLC entered into the Trumid Transaction Agreement for Tradeweb Markets LLC to acquire directly and indirectly all of the outstanding equity interests of Trumid for $1.97 billion, which will consist of $1.89 billion payable in cash, subject to customary adjustments, and $82.0 million in equity. The closing of the acquisition is subject to the satisfaction of regulatory approvals as well as other customary closing conditions, and currently targeted to close in the first half 2027, although no assurance can be given in that regard. The cash portion of the purchase consideration is expected to be funded primarily through cash on hand.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Cash and Liquidity Requirements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of our U.S. subsidiaries are registered as broker-dealers, SEFs, SBSEFs or introducing brokers and are subject to the applicable rules and regulations of the SEC and CFTC. These rules contain minimum net capital or other financial resource requirements, as defined in the applicable regulations. These rules may also require a significant part of the registrants’ assets be kept in relatively liquid form. Certain of our foreign subsidiaries are regulated by the Financial Conduct Authority in the UK, the Nederlandsche Bank in the Netherlands, the Japanese Financial Services Agency, the Japanese Securities Dealers Association and other foreign regulators, and must maintain financial resources, as defined in the applicable regulations, in excess of the applicable financial resources requirement. As of September 30, 2026 and December 31, 2025, each of our regulated subsidiaries had maintained sufficient net capital or financial resources to at least satisfy their minimum requirements, which in aggregate were $94.6 million and $90.0 million, respectively. We maintain capital balances in these subsidiaries in excess of our minimum requirements in order to satisfy working capital needs and to ensure that we have enough cash on hand to satisfy margin requirements and credit risk, including the excess capital expectations of our clients. The Fixed Income Clearing Corporation (“FICC”) and some of our clearing brokers require us to post collateral on unsettled positions, included within deposits with clearing organizations in our condensed consolidated statements of financial condition. Collateral amounts are marked to market on a daily basis, requiring us to pay or receive margin amounts as part of the daily funds settlement. Margin call requirements can vary significantly across periods based on daily market changes and may represent a significant and unpredictable use of our liquidity.</w:t>
      </w:r>
    </w:p>
    <w:p>
      <w:pPr>
        <w:spacing w:after="0" w:line="14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times, wholesale transactions executed on our platform fail to settle due to the inability of a transaction party to deliver or receive the transacted security. Until the failed transaction settles, we will recognize a receivable from (and a matching payable to) brokers and dealers and clearing organizations for the proceeds from the unsettled transaction. The impact on our liquidity and capital resources is minimal as receivables and payables for failed transactions are usually recognized simultaneously and predominantly offset. However, from time to time, we enter into repurchase and/or reverse repurchase agreements to facilitate the clearance of securities relating to fails to deliver or receive. We seek to manage credit exposure related to these agreements to repurchase (or reverse repurchase), including the risk related to a decline in market value of collateral (pledged or received), by entering into agreements to repurchase with overnight or short-term maturity dates and only entering into repurchase transactions with netting members of the FICC. The FICC operates a continuous net settlement system, whereby as trades are submitted and compared, the FICC becomes the counterparty.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self-clear wholesale U.S. Treasury trades executed by non-FICC members on our platform. The number of self-cleared trades that settle over the fed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wire, instead of FICC clearing, may impact the number of U.S. Treasury failed settlement transactions. As of September 30, 2026, we recorded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$137.3 million receivable and a $91.0 million payable from/to brokers and dealers and clearing organizations related to failed settlement transactions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self-funded the remaining $46.4 million difference between the fail to deliver and fail to receive. All of the failed settlement transactions outstanding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September 30, 2026 were fully settled during October 2026. See below for further details regarding the changes to working capital as a result of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failed settlement transactions.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Canton Coin Lockup Restrictions</w:t>
      </w:r>
    </w:p>
    <w:p>
      <w:pPr>
        <w:spacing w:after="0" w:line="18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During the second quarter of 2026, the Canton Network implemented a long-term locking and commitment framework for Super Validators (the “Locking Commitment”) designed to align Super Validator incentives with the long-term success of the Canton Network and create visible, on-chain commitment of the Super Validators to the Canton Network. To continue earning Canton Coins for our function as a Super Validator, the Locking Commitment requires Super Validators, including us, to lock a defined percentage of our aggregate lifetime Canton Coins earned for our function as a Super Validator (the “Lifetime Super Validator Coins”). Beginning in the second quarter of 2026, the amount of Super Validator weight assigned to us is based in part on the tiered percentage Locking Commitment we elect. The Locking Commitment percentages step down over time and are scheduled to end in mid-2029. While Canton Coins are locked, they may not be transferred to third parties and once an election to unlock is made, 1/365 of the requested unlock amount becomes liquid each day (the “Canton Coin Lockup Restrictions”). As of September 30, 2026, we have elected Tier 1 of the Locking Commitment framework which allows us to retain 100% of our current Super Validator weight, and, as a result, 70% of our Lifetime Super Validator Coins are subject to the Canton Coin Lockup Restrictions. As of September 30, 2026, 1.3 billion Canton Coins valued at $163.7 million were subject to the Canton Coin Lockup Restrictions and may not be transferred to third parties, which could affect our ability to sell these assets, including during periods of price volatility or reduced liquidity.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Working capital is defined as current assets minus current liabilities. Current assets consist of cash and cash equivalents, restricted cash, receivable from brokers and dealers and clearing organizations, deposits with clearing organizations, accounts receivable, receivable and due from related parties and other current assets. Current liabilities consist of, as applicable, securities sold under agreements to repurchase, payable to brokers and dealers and clearing organizations, accrued compensation, deferred revenue, payable and due to related parties, accounts payable, accrued expenses and other liabilities, lease liabilities and tax receivable agreement liability. Changes in working capital, which impact our cash flows provided by operating activities, can vary depending on factors such as delays in the collection of receivables, changes in our operating performance, changes in trading patterns, changes in client billing terms and other changes in the demand for our platform and solutions.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working capital as of September 30, 2026 and December 31, 2025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0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37"/>
        </w:trPr>
        <w:tc>
          <w:tcPr>
            <w:tcW w:w="5060" w:type="dxa"/>
            <w:vAlign w:val="bottom"/>
          </w:tcPr>
          <w:p>
            <w:pPr>
              <w:spacing w:after="0"/>
              <w:rPr>
                <w:sz w:val="3"/>
                <w:szCs w:val="3"/>
                <w:color w:val="auto"/>
              </w:rPr>
            </w:pPr>
          </w:p>
        </w:tc>
        <w:tc>
          <w:tcPr>
            <w:tcW w:w="3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2,084,739</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 from brokers and dealers and clearing organizations</w:t>
            </w:r>
          </w:p>
        </w:tc>
        <w:tc>
          <w:tcPr>
            <w:tcW w:w="3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clearing organizations</w:t>
            </w: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58,282</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257,845</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 and due from related parties</w:t>
            </w: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0" w:type="dxa"/>
            <w:vAlign w:val="bottom"/>
          </w:tcPr>
          <w:p>
            <w:pPr>
              <w:spacing w:after="0"/>
              <w:rPr>
                <w:sz w:val="1"/>
                <w:szCs w:val="1"/>
                <w:color w:val="auto"/>
              </w:rPr>
            </w:pPr>
          </w:p>
        </w:tc>
      </w:tr>
      <w:tr>
        <w:trPr>
          <w:trHeight w:val="27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other assets</w:t>
            </w:r>
          </w:p>
        </w:tc>
        <w:tc>
          <w:tcPr>
            <w:tcW w:w="33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87,095</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71,239</w:t>
            </w: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2,732,877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2,490,038</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 to brokers and dealers and clearing organizations</w:t>
            </w:r>
          </w:p>
        </w:tc>
        <w:tc>
          <w:tcPr>
            <w:tcW w:w="3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251,169</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29,030</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 and due to related parties</w:t>
            </w: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w:t>
            </w:r>
          </w:p>
        </w:tc>
        <w:tc>
          <w:tcPr>
            <w:tcW w:w="3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182,583</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w:t>
            </w:r>
          </w:p>
        </w:tc>
        <w:tc>
          <w:tcPr>
            <w:tcW w:w="3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33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36,290</w:t>
            </w: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3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624,464</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521,437</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working capital</w:t>
            </w:r>
          </w:p>
        </w:tc>
        <w:tc>
          <w:tcPr>
            <w:tcW w:w="33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2,108,413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1,968,601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380" w:type="dxa"/>
            <w:vAlign w:val="bottom"/>
            <w:vMerge w:val="restart"/>
          </w:tcPr>
          <w:p>
            <w:pPr>
              <w:jc w:val="right"/>
              <w:ind w:right="263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0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Assets</w:t>
      </w:r>
    </w:p>
    <w:p>
      <w:pPr>
        <w:spacing w:after="0" w:line="20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Current assets increased to $2.7 billion as of September 30, 2026 from $2.5 billion as of December 31, 2025 primarily due to an increase in receivables from brokers and dealers and clearing organizations resulting from an increase in unsettled wholesale transactions and a higher value of fails to deliver, all of which settled in October 2026, and an increase in accounts receivable resulting from an increase in revenues and timing of collections. See “—</w:t>
      </w: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Flows” </w:t>
      </w:r>
      <w:r>
        <w:rPr>
          <w:rFonts w:ascii="Times New Roman" w:cs="Times New Roman" w:eastAsia="Times New Roman" w:hAnsi="Times New Roman"/>
          <w:sz w:val="18"/>
          <w:szCs w:val="18"/>
          <w:color w:val="auto"/>
        </w:rPr>
        <w:t>below for further discussion of the change in cash and cash equivalents.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p>
      <w:pPr>
        <w:spacing w:after="0" w:line="187"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Current liabilities increased to $624.5 million as of September 30, 2026 from $521.4 million as of December 31, 2025 primarily due to an increase in payable to brokers and dealers and clearing organizations resulting from an increase in unsettled wholesale transactions and a higher value of fails to receive, all of which settled in October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Other Cash and Liquidity Requirements</w:t>
      </w:r>
      <w:r>
        <w:rPr>
          <w:rFonts w:ascii="Times New Roman" w:cs="Times New Roman" w:eastAsia="Times New Roman" w:hAnsi="Times New Roman"/>
          <w:sz w:val="18"/>
          <w:szCs w:val="18"/>
          <w:color w:val="auto"/>
        </w:rPr>
        <w:t>” above for a discussion on how capital requirements can impact our working capital.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for the nine months ended September 30, 2026 and 2025 were as follows:</w:t>
      </w:r>
    </w:p>
    <w:p>
      <w:pPr>
        <w:spacing w:after="0" w:line="232"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42"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33655</wp:posOffset>
            </wp:positionV>
            <wp:extent cx="17741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35" w:lineRule="exact"/>
        <w:rPr>
          <w:sz w:val="20"/>
          <w:szCs w:val="20"/>
          <w:color w:val="auto"/>
        </w:rPr>
      </w:pPr>
    </w:p>
    <w:p>
      <w:pPr>
        <w:ind w:left="8980"/>
        <w:spacing w:after="0"/>
        <w:tabs>
          <w:tab w:leader="none" w:pos="104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33655</wp:posOffset>
            </wp:positionV>
            <wp:extent cx="17741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p>
      <w:pPr>
        <w:spacing w:after="0" w:line="31" w:lineRule="exact"/>
        <w:rPr>
          <w:sz w:val="20"/>
          <w:szCs w:val="20"/>
          <w:color w:val="auto"/>
        </w:rPr>
      </w:pPr>
    </w:p>
    <w:p>
      <w:pPr>
        <w:ind w:left="20" w:right="2160"/>
        <w:spacing w:after="0" w:line="344" w:lineRule="auto"/>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740" w:type="dxa"/>
            <w:vAlign w:val="bottom"/>
          </w:tcPr>
          <w:p>
            <w:pPr>
              <w:spacing w:after="0"/>
              <w:rPr>
                <w:sz w:val="16"/>
                <w:szCs w:val="16"/>
                <w:color w:val="auto"/>
              </w:rPr>
            </w:pPr>
          </w:p>
        </w:tc>
      </w:tr>
      <w:tr>
        <w:trPr>
          <w:trHeight w:val="302"/>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845,255</w:t>
            </w:r>
          </w:p>
        </w:tc>
        <w:tc>
          <w:tcPr>
            <w:tcW w:w="80" w:type="dxa"/>
            <w:vAlign w:val="bottom"/>
          </w:tcPr>
          <w:p>
            <w:pPr>
              <w:spacing w:after="0"/>
              <w:rPr>
                <w:sz w:val="24"/>
                <w:szCs w:val="24"/>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811,697</w:t>
            </w:r>
          </w:p>
        </w:tc>
      </w:tr>
      <w:tr>
        <w:trPr>
          <w:trHeight w:val="230"/>
        </w:trPr>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(160,404)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(91,725)</w:t>
            </w:r>
          </w:p>
        </w:tc>
      </w:tr>
      <w:tr>
        <w:trPr>
          <w:trHeight w:val="234"/>
        </w:trPr>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(652,410)</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(162,212)</w:t>
            </w:r>
          </w:p>
        </w:tc>
      </w:tr>
      <w:tr>
        <w:trPr>
          <w:trHeight w:val="270"/>
        </w:trPr>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8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9,860</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30,156</w:t>
            </w:r>
          </w:p>
        </w:tc>
        <w:tc>
          <w:tcPr>
            <w:tcW w:w="8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567,620</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primarily include depreciation and amortization, stock-based compensation expense, digital assets received as revenue, deferred taxes and other income and changes in working capital. Cash flows from operating activities can fluctuate significantly from period-to-period as working capital needs and the timing of payments for accrued compensation (primarily in the first quarter) and other items impact reported cash flows.</w:t>
      </w:r>
    </w:p>
    <w:p>
      <w:pPr>
        <w:spacing w:after="0" w:line="13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2026 was $845.3 million, an increase of $33.6 million over the nine months ended September 30, 2025, primarily driven by an increase in net income, partially offset by approximately $71 million in cash paid during the nine months ended September 30, 2026 for the purchase of transferable tax credits related to our 2025 tax year obligations and other net changes in working capital.</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software development costs, investments in technology hardware, purchases of equipment and other tangible assets, business acquisitions and investments.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$160.4 million for the nine months ended September 30, 2026, which consisted of $76.9 million of cash paid for investments, $56.3 million of capitalized software development costs and $27.2 million of purchases of furniture, equipment, purchased software and leasehold improvements. Net cash used in investing activities was $91.7 million for the nine months ended September 30, 2025, which consisted of $47.1 million of capitalized software development costs, $38.4 million of cash paid for investments and $21.1 million of purchases of furniture, equipment, purchased software and leasehold improvements, partially offset by $15.0 million in cash received from the sale of Canton Coins.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2026 was $652.4 million, and was primarily driven by $447.3 million in share repurchases pursuant to our share repurchase programs, $88.9 million in cash dividends to our Class A and Class B common stockholders, $83.0 million in payroll tax payments for employee equity awards, net of proceeds from the related stock-based compensation option exercises, $19.0 million in payments due under our Tax Receivable Agreement and $14.1 million in distributions to non-controlling interest holders. Net cash used in financing activities for the nine months ended September 30, 2025 was $162.2 million, and was primarily driven by $76.8 million in cash dividends to our Class A and Class B common stockholders, $49.0 million in payroll tax payments for employee equity awards, $21.4 million in payments due under our Tax Receivable Agreement and $14.2 million in distributions to non-controlling interest 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0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cash flow from operating activities presented in accordance with GAAP, we use Free Cash Flow, a non-GAAP measure, to measure liquidity. Free Cash Flow is defined as cash flow from operating activities less non-acquisition related expenditures for capitalized software development costs and furniture, equipment and leasehold improvements.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present Free Cash Flow because we believe it is a useful indicator of liquidity that provides information to management and investors about the amount of cash generated from our core operations after non-acquisition related expenditures for capitalized software development costs and furniture, equipment and leasehold improvements.</w:t>
      </w:r>
    </w:p>
    <w:p>
      <w:pPr>
        <w:spacing w:after="0" w:line="13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Free Cash Flow has limitations as an analytical tool, and you should not consider Free Cash Flow in isolation or as an alternative to cash flow from operating activities or any other liquidity measure determined in accordance with GAAP. You are encouraged to evaluate each adjustment. In addition, in evaluating Free Cash Flow, you should be aware that in the future, we may incur expenditures similar to the adjustments in the presentation of Free Cash Flow. In addition, Free Cash Flow may not be comparable to similarly titled measures used by other companies in our industry or across different industries.</w:t>
      </w:r>
    </w:p>
    <w:p>
      <w:pPr>
        <w:spacing w:after="0" w:line="1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our cash flow from operating activities to Free Cash Flow for the nine months ended September 30, 2026 and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3"/>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gridSpan w:val="4"/>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7"/>
        </w:trPr>
        <w:tc>
          <w:tcPr>
            <w:tcW w:w="8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845,255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811,697</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Capitalization of software development costs</w:t>
            </w:r>
          </w:p>
        </w:tc>
        <w:tc>
          <w:tcPr>
            <w:tcW w:w="320" w:type="dxa"/>
            <w:vAlign w:val="bottom"/>
          </w:tcPr>
          <w:p>
            <w:pPr>
              <w:spacing w:after="0"/>
              <w:rPr>
                <w:sz w:val="19"/>
                <w:szCs w:val="19"/>
                <w:color w:val="auto"/>
              </w:rPr>
            </w:pPr>
          </w:p>
        </w:tc>
        <w:tc>
          <w:tcPr>
            <w:tcW w:w="1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(56,278)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(47,144)</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Purchases of furniture, equipment and leasehold improvements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(27,235)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(21,141)</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761,742</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743,412</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Adjusted EBITDA margin, Adjusted EBIT, Adjusted EBIT margin, Adjusted Net Income and Adjusted Diluted EPS</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to net income, net income margin and net income attributable to Tradeweb Markets Inc., each presented in accordance with GAAP, we present Adjusted EBITDA, Adjusted EBITDA margin, Adjusted EBIT and Adjusted EBIT margin as non-GAAP measures of our operating performance and Adjusted Net Income and Adjusted Net Income per diluted share (“Adjusted Diluted EPS”) as non-GAAP measures of our profitability.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Adjusted EBITDA margin, Adjusted EBIT and Adjusted EBIT margin</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before interest income, interest expense, provision for income taxes and depreciation and amortization, adjusted for the impact of certain other items, including merger and acquisition transaction and integration costs, certain stock-based compensation expense and related payroll taxes, tax receivable agreement liability adjustments, unrealized gains and losses from outstanding foreign currency forward contracts, gains and losses from the revaluation of foreign denominated cash and other income and loss.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Adjusted EBIT is defined as net income before interest income, interest expense and provision for income taxes, adjusted for the impact of certain other items, including merger and acquisition transaction and integration costs, certain stock-based compensation expense and related payroll taxes, tax receivable agreement liability adjustments, depreciation and amortization related to acquisitions and the Refinitiv Transaction, unrealized gains and losses from outstanding foreign currency forward contracts, gains and losses from the revaluation of foreign denominated cash and other income and loss.</w:t>
      </w:r>
    </w:p>
    <w:p>
      <w:pPr>
        <w:spacing w:after="0" w:line="153"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Net income margin is defined as net income, divided by revenue for the applicable period. Adjusted EBITDA margin and Adjusted EBIT margin are defined as Adjusted EBITDA and Adjusted EBIT, respectively, divided by revenue for the applicable period.</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present Adjusted EBITDA, Adjusted EBITDA margin, Adjusted EBIT and Adjusted EBIT margin because we believe they assist investors and analysts in comparing our operating performance across reporting periods on a consistent basis by excluding items that we do not believe are indicative of our core operating performance. For example, in applicable periods, we exclude non-cash stock-based compensation expense associated with the Special Option Award as defined in Note 2 – Significant Accounting Policies to our unaudited condensed consolidated financial statements included elsewhere in this Quarterly Report on Form 10-Q and post-IPO options awarded in 2019 to management and other employees as well as payroll taxes associated with exercises of such options during the applicable period. The value of all previously issued options was fully expensed as of March 31, 2024, however we will continue to incur payroll tax expense as previously issued options are exercised by the holders. For applicable periods, we also exclude the incremental non-cash accelerated stock-based compensation expense and related payroll taxes associated with former and/or departing executive officers. We also exclude stock-based compensation expense and related payroll taxes associated with special equity awards granted to help ensure the retention of key employees during the integration of acquisitions. We believe it is useful to exclude these stock-based compensation expenses and, as applicable, associated payroll taxes because the amount of expense may not directly correlate to the underlying performance of our business and will vary across periods. In addition, we exclude the tax receivable agreement liability adjustments discussed below under “— Critical Accounting Policies and Estimates — Tax Receivable Agreement.” We believe it is useful to exclude the tax receivable agreement liability adjustment because the recognition of income during a period due to changes in the tax receivable agreement liability recorded in our condensed consolidated statements of financial condition as a result of changes in the mix of earnings, tax legislation and tax rates in various jurisdictions, or other factors that may impact our tax savings, may not directly correlate to the underlying performance of our business and will vary across periods. We also believe it is useful to exclude merger and acquisition transaction and integration costs as the incremental direct costs related to completed and potential acquisitions and related integrations are not indicative of our core ongoing operating performance. With respect to Adjusted EBIT and Adjusted EBIT margin, we believe it is useful to exclude the depreciation and amortization of tangible and intangible assets resulting from acquisitions and the application of pushdown accounting to the Refinitiv Transaction in order to facilitate a period-over-period comparison of our financial performance.</w:t>
      </w:r>
    </w:p>
    <w:p>
      <w:pPr>
        <w:spacing w:after="0" w:line="14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 and Adjusted EBITDA margin.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Diluted EPS</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Tradeweb Markets Inc. assuming the full exchange of all outstanding LLC Interests held by non-controlling interests for shares of Class A common stock or Class B common stock of Tradeweb Markets Inc., adjusted for certain stock-based compensation expense and related payroll taxes, tax receivable agreement liability adjustments, merger and acquisition transaction and integration costs, depreciation and amortization related to acquisitions and the Refinitiv Transaction, unrealized gains and losses from outstanding foreign currency forward contracts, gains and losses from the revaluation of foreign denominated cash and other income and loss. Adjusted Net Income also gives effect to certain tax related adjustments to reflect an assumed effective tax rate. Adjusted Diluted EPS is defined as Adjusted Net Income divided by the diluted weighted average number of shares of Class A common stock and Class B common stock outstanding for the applicable period (including the effect of potentially dilutive securities determined using the treasury stock method), plus the weighted average number of other participating securities reflected in earnings per share using the two-class method, plus the assumed full exchange of all outstanding LLC Interests held by non-controlling interests for shares of Class A common stock or Class B common stock.</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use Adjusted Net Income and Adjusted Diluted EPS as supplemental metrics to evaluate our business performance in a way that also considers our ability to generate profit without the impact of certain items. We exclude certain stock-based compensation expense and related payroll taxes, tax receivable agreement liability adjustments, merger and acquisition transaction and integration costs and acquisition and Refinitiv Transaction-related depreciation and amortization for the reasons described above. Each of the adjustments described in the definition of Adjusted Net Income helps to provide management with a measure of our operating performance over time by removing items that are not related to day-to-day operations or are non-cash expenses. In addition to excluding items that are non-recurring or may not be indicative of our ongoing operating performance, by assuming the full exchange of all outstanding LLC Interests held by non-controlling interests, we believe that Adjusted Net Income and Adjusted Diluted EPS for Tradeweb Markets Inc. facilitate comparisons with other companies that have different organizational and tax structures, as well as comparisons period over period, because it eliminates the effect of any changes in net income attributable to Tradeweb Markets Inc. driven by increases in our ownership of TWM LLC, which are unrelated to our operating performance.</w:t>
      </w:r>
    </w:p>
    <w:p>
      <w:pPr>
        <w:spacing w:after="0" w:line="1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Adjusted EBITDA, Adjusted EBITDA margin, Adjusted EBIT, Adjusted EBIT margin, Adjusted Net Income and Adjusted Diluted EPS have limitations as analytical tools, and you should not consider these non-GAAP financial measures in isolation or as alternatives to net income attributable to Tradeweb Markets Inc., net income, net income margin, operating income, gross margin, earnings per share or any other financial measure derived in accordance with GAAP. You are encouraged to evaluate each adjustment and, as applicable, the reasons we consider it appropriate for supplemental analysis. In addition, in evaluating Adjusted EBITDA, Adjusted EBITDA margin, Adjusted EBIT, Adjusted EBIT margin, Adjusted Net Income and Adjusted Diluted EPS you should be aware that in the future, we may incur expenses similar to the adjustments in the presentation of these non-GAAP financial measures. Our presentation of Adjusted EBITDA, Adjusted EBITDA margin, Adjusted EBIT, Adjusted EBIT margin, Adjusted Net Income and Adjusted Diluted EPS should not be construed as an inference that our future results will be unaffected by unusual or non-recurring items. In addition, Adjusted EBITDA, Adjusted EBITDA margin, Adjusted EBIT, Adjusted EBIT margin, Adjusted Net Income and Adjusted Diluted EPS may not be comparable to similarly titled measures used by other companies in our industry or across different industries.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and net income margin to Adjusted EBITDA, Adjusted EBITDA margin, Adjusted EBIT and Adjusted EBIT margin for the three and nine months ended September 30, 2026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5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224,905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210,549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664,758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554,376</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4,170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4,652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6,734</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(18,353)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(20,348)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(53,955)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(49,169)</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62,319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184,515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190,098</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1,802</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65,098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59,068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198,355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163,886</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(14,231)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17,579</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(18,742)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(39,420)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(24,864)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(56,306)</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318,854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274,423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962,672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830,538</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93"/>
              <w:spacing w:after="0" w:line="203" w:lineRule="exact"/>
              <w:rPr>
                <w:sz w:val="20"/>
                <w:szCs w:val="20"/>
                <w:color w:val="auto"/>
              </w:rPr>
            </w:pPr>
            <w:r>
              <w:rPr>
                <w:rFonts w:ascii="Times New Roman" w:cs="Times New Roman" w:eastAsia="Times New Roman" w:hAnsi="Times New Roman"/>
                <w:sz w:val="18"/>
                <w:szCs w:val="18"/>
                <w:color w:val="auto"/>
              </w:rPr>
              <w:t>(62,319)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92"/>
              <w:spacing w:after="0" w:line="203" w:lineRule="exact"/>
              <w:rPr>
                <w:sz w:val="20"/>
                <w:szCs w:val="20"/>
                <w:color w:val="auto"/>
              </w:rPr>
            </w:pPr>
            <w:r>
              <w:rPr>
                <w:rFonts w:ascii="Times New Roman" w:cs="Times New Roman" w:eastAsia="Times New Roman" w:hAnsi="Times New Roman"/>
                <w:sz w:val="18"/>
                <w:szCs w:val="18"/>
                <w:color w:val="auto"/>
              </w:rPr>
              <w:t>(64,351)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93"/>
              <w:spacing w:after="0" w:line="203" w:lineRule="exact"/>
              <w:rPr>
                <w:sz w:val="20"/>
                <w:szCs w:val="20"/>
                <w:color w:val="auto"/>
              </w:rPr>
            </w:pPr>
            <w:r>
              <w:rPr>
                <w:rFonts w:ascii="Times New Roman" w:cs="Times New Roman" w:eastAsia="Times New Roman" w:hAnsi="Times New Roman"/>
                <w:sz w:val="18"/>
                <w:szCs w:val="18"/>
                <w:color w:val="auto"/>
              </w:rPr>
              <w:t>(184,515)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91"/>
              <w:spacing w:after="0" w:line="203" w:lineRule="exact"/>
              <w:rPr>
                <w:sz w:val="20"/>
                <w:szCs w:val="20"/>
                <w:color w:val="auto"/>
              </w:rPr>
            </w:pPr>
            <w:r>
              <w:rPr>
                <w:rFonts w:ascii="Times New Roman" w:cs="Times New Roman" w:eastAsia="Times New Roman" w:hAnsi="Times New Roman"/>
                <w:sz w:val="18"/>
                <w:szCs w:val="18"/>
                <w:color w:val="auto"/>
              </w:rPr>
              <w:t>(190,098)</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Add: D&amp;A related to acquisitions and the Refinitiv Transaction </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39,902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45,474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119,706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136,421</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296,437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255,546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897,863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776,861</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360" w:hanging="332"/>
        <w:spacing w:after="0" w:line="271" w:lineRule="auto"/>
        <w:tabs>
          <w:tab w:leader="none" w:pos="33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ind w:left="340" w:right="100" w:hanging="332"/>
        <w:spacing w:after="0" w:line="256" w:lineRule="auto"/>
        <w:tabs>
          <w:tab w:leader="none" w:pos="33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certain non-cash stock-based compensation expense and related payroll taxes, the composition of which may vary each period based on applicable activity. During the three and nine months ended September 30, 2026 and 2025, this adjustment includes $0.4 million, $0.6 million, $1.7 million and $1.8 million, respectively, of non-cash stock-based compensation expense and related payroll taxes associated with RSAs and RSUs issued to help retain key ICD employees during the integration of ICD. As applicable, this adjustment also includes any payroll tax expense associated with the exercise of stock options.</w:t>
      </w:r>
    </w:p>
    <w:p>
      <w:pPr>
        <w:spacing w:after="0" w:line="1" w:lineRule="exact"/>
        <w:rPr>
          <w:rFonts w:ascii="Times New Roman" w:cs="Times New Roman" w:eastAsia="Times New Roman" w:hAnsi="Times New Roman"/>
          <w:sz w:val="14"/>
          <w:szCs w:val="14"/>
          <w:color w:val="auto"/>
        </w:rPr>
      </w:pPr>
    </w:p>
    <w:p>
      <w:pPr>
        <w:ind w:left="340" w:right="60" w:hanging="332"/>
        <w:spacing w:after="0" w:line="261" w:lineRule="auto"/>
        <w:tabs>
          <w:tab w:leader="none" w:pos="33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00" w:hanging="332"/>
        <w:spacing w:after="0" w:line="251" w:lineRule="auto"/>
        <w:tabs>
          <w:tab w:leader="none" w:pos="33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ind w:left="340" w:right="260" w:hanging="332"/>
        <w:spacing w:after="0" w:line="272" w:lineRule="auto"/>
        <w:tabs>
          <w:tab w:leader="none" w:pos="33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Constant</w:t>
            </w:r>
          </w:p>
        </w:tc>
        <w:tc>
          <w:tcPr>
            <w:tcW w:w="10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Constant</w:t>
            </w:r>
          </w:p>
        </w:tc>
        <w:tc>
          <w:tcPr>
            <w:tcW w:w="0" w:type="dxa"/>
            <w:vAlign w:val="bottom"/>
          </w:tcPr>
          <w:p>
            <w:pPr>
              <w:spacing w:after="0"/>
              <w:rPr>
                <w:sz w:val="1"/>
                <w:szCs w:val="1"/>
                <w:color w:val="auto"/>
              </w:rPr>
            </w:pPr>
          </w:p>
        </w:tc>
      </w:tr>
      <w:tr>
        <w:trPr>
          <w:trHeight w:val="146"/>
        </w:trPr>
        <w:tc>
          <w:tcPr>
            <w:tcW w:w="2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10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Currency Basis</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Basis Point</w:t>
            </w: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Currency Basis</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1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1"/>
                <w:szCs w:val="11"/>
                <w:color w:val="auto"/>
              </w:rPr>
            </w:pPr>
          </w:p>
        </w:tc>
        <w:tc>
          <w:tcPr>
            <w:tcW w:w="112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Point Change</w:t>
            </w:r>
          </w:p>
        </w:tc>
        <w:tc>
          <w:tcPr>
            <w:tcW w:w="112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1"/>
                <w:szCs w:val="11"/>
                <w:color w:val="auto"/>
              </w:rPr>
            </w:pPr>
          </w:p>
        </w:tc>
        <w:tc>
          <w:tcPr>
            <w:tcW w:w="112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Point Change</w:t>
            </w: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tcPr>
          <w:p>
            <w:pPr>
              <w:jc w:val="center"/>
              <w:ind w:right="120"/>
              <w:spacing w:after="0" w:line="54" w:lineRule="exact"/>
              <w:rPr>
                <w:sz w:val="20"/>
                <w:szCs w:val="20"/>
                <w:color w:val="auto"/>
              </w:rPr>
            </w:pPr>
            <w:r>
              <w:rPr>
                <w:rFonts w:ascii="Times New Roman" w:cs="Times New Roman" w:eastAsia="Times New Roman" w:hAnsi="Times New Roman"/>
                <w:sz w:val="6"/>
                <w:szCs w:val="6"/>
                <w:b w:val="1"/>
                <w:bCs w:val="1"/>
                <w:color w:val="auto"/>
              </w:rPr>
              <w:t>Change</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tcPr>
          <w:p>
            <w:pPr>
              <w:jc w:val="center"/>
              <w:ind w:right="100"/>
              <w:spacing w:after="0" w:line="54" w:lineRule="exact"/>
              <w:rPr>
                <w:sz w:val="20"/>
                <w:szCs w:val="20"/>
                <w:color w:val="auto"/>
              </w:rPr>
            </w:pPr>
            <w:r>
              <w:rPr>
                <w:rFonts w:ascii="Times New Roman" w:cs="Times New Roman" w:eastAsia="Times New Roman" w:hAnsi="Times New Roman"/>
                <w:sz w:val="6"/>
                <w:szCs w:val="6"/>
                <w:b w:val="1"/>
                <w:bCs w:val="1"/>
                <w:color w:val="auto"/>
              </w:rPr>
              <w:t>Change</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0" w:type="dxa"/>
            <w:vAlign w:val="bottom"/>
          </w:tcPr>
          <w:p>
            <w:pPr>
              <w:spacing w:after="0"/>
              <w:rPr>
                <w:sz w:val="1"/>
                <w:szCs w:val="1"/>
                <w:color w:val="auto"/>
              </w:rPr>
            </w:pPr>
          </w:p>
        </w:tc>
      </w:tr>
      <w:tr>
        <w:trPr>
          <w:trHeight w:val="69"/>
        </w:trPr>
        <w:tc>
          <w:tcPr>
            <w:tcW w:w="2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1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+59 bps</w:t>
            </w: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+25 bps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+42 bps</w:t>
            </w:r>
          </w:p>
        </w:tc>
        <w:tc>
          <w:tcPr>
            <w:tcW w:w="1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+34 bps</w:t>
            </w:r>
          </w:p>
        </w:tc>
        <w:tc>
          <w:tcPr>
            <w:tcW w:w="0" w:type="dxa"/>
            <w:vAlign w:val="bottom"/>
          </w:tcPr>
          <w:p>
            <w:pPr>
              <w:spacing w:after="0"/>
              <w:rPr>
                <w:sz w:val="1"/>
                <w:szCs w:val="1"/>
                <w:color w:val="auto"/>
              </w:rPr>
            </w:pPr>
          </w:p>
        </w:tc>
      </w:tr>
      <w:tr>
        <w:trPr>
          <w:trHeight w:val="23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 margin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100" w:type="dxa"/>
            <w:vAlign w:val="bottom"/>
          </w:tcPr>
          <w:p>
            <w:pPr>
              <w:spacing w:after="0"/>
              <w:rPr>
                <w:sz w:val="20"/>
                <w:szCs w:val="20"/>
                <w:color w:val="auto"/>
              </w:rPr>
            </w:pPr>
          </w:p>
        </w:tc>
        <w:tc>
          <w:tcPr>
            <w:tcW w:w="10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+47 bps</w:t>
            </w: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+13 bps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100" w:type="dxa"/>
            <w:vAlign w:val="bottom"/>
          </w:tcPr>
          <w:p>
            <w:pPr>
              <w:spacing w:after="0"/>
              <w:rPr>
                <w:sz w:val="20"/>
                <w:szCs w:val="20"/>
                <w:color w:val="auto"/>
              </w:rPr>
            </w:pPr>
          </w:p>
        </w:tc>
        <w:tc>
          <w:tcPr>
            <w:tcW w:w="1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+24 bps</w:t>
            </w:r>
          </w:p>
        </w:tc>
        <w:tc>
          <w:tcPr>
            <w:tcW w:w="1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+13 bps</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60" w:hanging="332"/>
        <w:spacing w:after="0" w:line="265" w:lineRule="auto"/>
        <w:tabs>
          <w:tab w:leader="none" w:pos="33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changes in Adjusted EBITDA margin and Adjusted EBIT margin, both on a constant currency basis, are non-GAAP financial measures, and are defined as the changes in Adjusted EBITDA margin and Adjusted EBIT margin excluding the effects of foreign currency fluctuations. Adjusted EBITDA margin and Adjusted EBIT margin excluding the effects of foreign currency fluctuations are calculated by translating the current period and prior period’s results using the annual average exchange rates for the prior period. We use the changes in Adjusted EBITDA margin and Adjusted EBIT margin on a constant currency basis as supplemental metrics to evaluate our underlying margin performance between periods by removing the impact of foreign currency fluctuations. We believe that providing changes in Adjusted EBITDA margin and Adjusted EBIT margin on a constant currency basis provide useful comparisons of our Adjusted EBITDA margin and Adjusted EBIT margin and trends between periods.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table set forth below presents a reconciliation of net income attributable to Tradeweb Markets Inc. and net income, as applicable, to Adjusted Net Income and Adjusted Diluted EPS for the three and nine months ended September 30, 2026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5"/>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9"/>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diluted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attributable to Tradeweb Markets Inc.</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197,457</w:t>
            </w:r>
          </w:p>
        </w:tc>
        <w:tc>
          <w:tcPr>
            <w:tcW w:w="5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185,636</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584,059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487,800</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income attributable to non-controlling interests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27,448</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80,699</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66,576</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554,376</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163,886</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Merger and acquisition transaction and integration costs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D&amp;A related to acquisitions and the Refinitiv Transaction </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136,421</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Foreign exchange (gains) / losses </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17,579</w:t>
            </w:r>
          </w:p>
        </w:tc>
        <w:tc>
          <w:tcPr>
            <w:tcW w:w="0" w:type="dxa"/>
            <w:vAlign w:val="bottom"/>
          </w:tcPr>
          <w:p>
            <w:pPr>
              <w:spacing w:after="0"/>
              <w:rPr>
                <w:sz w:val="1"/>
                <w:szCs w:val="1"/>
                <w:color w:val="auto"/>
              </w:rPr>
            </w:pP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Tax receivable agreement liability adjustment </w:t>
            </w:r>
            <w:r>
              <w:rPr>
                <w:rFonts w:ascii="Times New Roman" w:cs="Times New Roman" w:eastAsia="Times New Roman" w:hAnsi="Times New Roman"/>
                <w:sz w:val="23"/>
                <w:szCs w:val="23"/>
                <w:color w:val="auto"/>
                <w:vertAlign w:val="superscript"/>
              </w:rPr>
              <w:t>(6)</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(18,742)</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(24,864)</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(56,306)</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before income taxes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950,167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824,492</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income taxes </w:t>
            </w:r>
            <w:r>
              <w:rPr>
                <w:rFonts w:ascii="Times New Roman" w:cs="Times New Roman" w:eastAsia="Times New Roman" w:hAnsi="Times New Roman"/>
                <w:sz w:val="23"/>
                <w:szCs w:val="23"/>
                <w:color w:val="auto"/>
                <w:vertAlign w:val="superscript"/>
              </w:rPr>
              <w:t>(7)</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(75,424)</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(228,040)</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(206,123)</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238,844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206,529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722,127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618,369</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Diluted EPS </w:t>
            </w:r>
            <w:r>
              <w:rPr>
                <w:rFonts w:ascii="Times New Roman" w:cs="Times New Roman" w:eastAsia="Times New Roman" w:hAnsi="Times New Roman"/>
                <w:sz w:val="23"/>
                <w:szCs w:val="23"/>
                <w:color w:val="auto"/>
                <w:vertAlign w:val="superscript"/>
              </w:rPr>
              <w:t>(8)</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right="60" w:hanging="332"/>
        <w:spacing w:after="0" w:line="271"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reallocation of net income attributable to non-controlling interests from the assumed exchange of all outstanding LLC Interests held by non-controlling interests for shares of Class A or Class B common stock.</w:t>
      </w:r>
    </w:p>
    <w:p>
      <w:pPr>
        <w:ind w:left="340" w:right="360" w:hanging="332"/>
        <w:spacing w:after="0" w:line="261"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ind w:left="340" w:right="260" w:hanging="332"/>
        <w:spacing w:after="0" w:line="254"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 w:lineRule="exact"/>
        <w:rPr>
          <w:rFonts w:ascii="Times New Roman" w:cs="Times New Roman" w:eastAsia="Times New Roman" w:hAnsi="Times New Roman"/>
          <w:sz w:val="14"/>
          <w:szCs w:val="14"/>
          <w:color w:val="auto"/>
        </w:rPr>
      </w:pPr>
    </w:p>
    <w:p>
      <w:pPr>
        <w:ind w:left="340" w:right="100" w:hanging="332"/>
        <w:spacing w:after="0" w:line="256"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certain non-cash stock-based compensation expense and related payroll taxes, the composition of which may vary each period based on applicable activity. During the three and nine months ended September 30, 2026 and 2025, this adjustment includes $0.4 million, $0.6 million, $1.7 million and $1.8 million, respectively, of non-cash stock-based compensation expense and related payroll taxes associated with RSAs and RSUs issued to help retain key ICD employees during the integration of ICD. As applicable, this adjustment also includes any payroll tax expense associated with the exercise of stock options.</w:t>
      </w:r>
    </w:p>
    <w:p>
      <w:pPr>
        <w:spacing w:after="0" w:line="1" w:lineRule="exact"/>
        <w:rPr>
          <w:rFonts w:ascii="Times New Roman" w:cs="Times New Roman" w:eastAsia="Times New Roman" w:hAnsi="Times New Roman"/>
          <w:sz w:val="14"/>
          <w:szCs w:val="14"/>
          <w:color w:val="auto"/>
        </w:rPr>
      </w:pPr>
    </w:p>
    <w:p>
      <w:pPr>
        <w:ind w:left="340" w:right="60" w:hanging="332"/>
        <w:spacing w:after="0" w:line="261"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gain or loss recognized on foreign currency forward contracts and foreign exchange gain or loss from the revaluation of cash denominated in a different currency than the entity’s functional currency.</w:t>
      </w:r>
    </w:p>
    <w:p>
      <w:pPr>
        <w:ind w:left="340" w:right="100" w:hanging="332"/>
        <w:spacing w:after="0" w:line="251"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ind w:left="340" w:right="460" w:hanging="332"/>
        <w:spacing w:after="0" w:line="261"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corporate income taxes at an assumed effective tax rate of 24.0% for the three and nine months ended September 30, 2026 and 25.0% for the three and nine months ended September 30, 2025, applied to Adjusted Net Income before income taxes.</w:t>
      </w:r>
    </w:p>
    <w:p>
      <w:pPr>
        <w:ind w:left="340" w:right="40" w:hanging="332"/>
        <w:spacing w:after="0" w:line="283" w:lineRule="auto"/>
        <w:tabs>
          <w:tab w:leader="none" w:pos="3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summary of the calculation of Adjusted Diluted EPS, see “Reconciliation of Diluted Weighted Average Shares Outstanding to Adjusted Diluted Weighted Average Shares Outstanding and Adjusted Diluted EPS” below.</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calculation of Adjusted Diluted EPS for the three and nine months ended September 30, 2026 and 2025: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56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16"/>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Diluted Weighted Average Shares Outstanding to Adjusted Diluted</w:t>
            </w:r>
          </w:p>
        </w:tc>
        <w:tc>
          <w:tcPr>
            <w:tcW w:w="240" w:type="dxa"/>
            <w:vAlign w:val="bottom"/>
          </w:tcPr>
          <w:p>
            <w:pPr>
              <w:spacing w:after="0"/>
              <w:rPr>
                <w:sz w:val="18"/>
                <w:szCs w:val="18"/>
                <w:color w:val="auto"/>
              </w:rPr>
            </w:pPr>
          </w:p>
        </w:tc>
        <w:tc>
          <w:tcPr>
            <w:tcW w:w="26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8"/>
                <w:szCs w:val="18"/>
                <w:color w:val="auto"/>
              </w:rPr>
            </w:pPr>
          </w:p>
        </w:tc>
        <w:tc>
          <w:tcPr>
            <w:tcW w:w="2560" w:type="dxa"/>
            <w:vAlign w:val="bottom"/>
            <w:gridSpan w:val="4"/>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556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 and Adjusted Diluted EPS</w:t>
            </w:r>
          </w:p>
        </w:tc>
        <w:tc>
          <w:tcPr>
            <w:tcW w:w="240" w:type="dxa"/>
            <w:vAlign w:val="bottom"/>
          </w:tcPr>
          <w:p>
            <w:pPr>
              <w:spacing w:after="0"/>
              <w:rPr>
                <w:sz w:val="16"/>
                <w:szCs w:val="16"/>
                <w:color w:val="auto"/>
              </w:rPr>
            </w:pPr>
          </w:p>
        </w:tc>
        <w:tc>
          <w:tcPr>
            <w:tcW w:w="11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5"/>
        </w:trPr>
        <w:tc>
          <w:tcPr>
            <w:tcW w:w="546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weighted average shares of Class A and Class B common stock</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210,903,847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214,983,486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212,332,878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214,951,279</w:t>
            </w: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of other participating securities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159,088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165,713</w:t>
            </w:r>
          </w:p>
        </w:tc>
        <w:tc>
          <w:tcPr>
            <w:tcW w:w="0" w:type="dxa"/>
            <w:vAlign w:val="bottom"/>
          </w:tcPr>
          <w:p>
            <w:pPr>
              <w:spacing w:after="0"/>
              <w:rPr>
                <w:sz w:val="1"/>
                <w:szCs w:val="1"/>
                <w:color w:val="auto"/>
              </w:rPr>
            </w:pPr>
          </w:p>
        </w:tc>
      </w:tr>
      <w:tr>
        <w:trPr>
          <w:trHeight w:val="221"/>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exchange of LLC Interests for shares of Class A or Class B</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common stock </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23,056,868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23,062,320</w:t>
            </w: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23,056,868</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23,065,139</w:t>
            </w:r>
          </w:p>
        </w:tc>
        <w:tc>
          <w:tcPr>
            <w:tcW w:w="0" w:type="dxa"/>
            <w:vAlign w:val="bottom"/>
          </w:tcPr>
          <w:p>
            <w:pPr>
              <w:spacing w:after="0"/>
              <w:rPr>
                <w:sz w:val="1"/>
                <w:szCs w:val="1"/>
                <w:color w:val="auto"/>
              </w:rPr>
            </w:pPr>
          </w:p>
        </w:tc>
      </w:tr>
      <w:tr>
        <w:trPr>
          <w:trHeight w:val="223"/>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diluted weighted average shares outstanding</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234,038,562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238,204,894</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235,466,194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238,182,131</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(in thousands)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206,529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722,127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618,369</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Diluted EPS</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0.87</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3.07</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200" w:hanging="332"/>
        <w:spacing w:after="0" w:line="266" w:lineRule="auto"/>
        <w:tabs>
          <w:tab w:leader="none" w:pos="33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 average of unvested stock awards and unsettled vested stock awards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 See Note 2 – Significant Accounting Policies to our unaudited condensed consolidated financial statements included elsewhere in this Quarterly Report on Form 10-Q for a discussion of the two-class method.</w:t>
      </w:r>
    </w:p>
    <w:p>
      <w:pPr>
        <w:spacing w:after="0" w:line="1" w:lineRule="exact"/>
        <w:rPr>
          <w:rFonts w:ascii="Times New Roman" w:cs="Times New Roman" w:eastAsia="Times New Roman" w:hAnsi="Times New Roman"/>
          <w:sz w:val="14"/>
          <w:szCs w:val="14"/>
          <w:color w:val="auto"/>
        </w:rPr>
      </w:pPr>
    </w:p>
    <w:p>
      <w:pPr>
        <w:ind w:left="340" w:right="480" w:hanging="332"/>
        <w:spacing w:after="0" w:line="263" w:lineRule="auto"/>
        <w:tabs>
          <w:tab w:leader="none" w:pos="33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which requires us to make estimates and assumptions about future events that affect the reported amounts of assets, liabilities, revenues and expenses, and disclosure of contingent assets and liabilities. These estimates and assumptions are based on judgment and the best available information at the time. Management bases its estimates on historical experience, observance of trends in particular areas, information available from outside sources and various other assumptions that are believed to be reasonable under the circumstances. Information from these sources forms the basis for making judgments about the carrying values of assets and liabilities that may not be readily apparent from other sources. Therefore, actual results could differ materially from those estimates. Management evaluates its accounting policies, estimates and judgments on an on-going basis.</w:t>
      </w:r>
    </w:p>
    <w:p>
      <w:pPr>
        <w:spacing w:after="0" w:line="14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Management evaluated the development and selection of its critical accounting policies and estimates and believes that the following policies are most critical to the portrayal of our financial condition and results of operations, and that require our most difficult, subjective or complex judgments in estimating the effect of inherent uncertainties. Our most critical policies and estimates include revenue recognition, stock-based compensation, current and deferred income taxes and the tax receivable agreement liability. With respect to critical accounting policies and estimates, even a relatively minor variance between actual and expected experience can potentially have a materially favorable or unfavorable impact on subsequent results of operations. More information on all of our significant accounting policies can be found in Note 2 – Significant Accounting Policies to our unaudited condensed consolidated financial statements included elsewhere in this Quarterly Report on Form 10-Q.</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enter into contracts with our clients to provide a stand-ready connection to our electronic marketplaces, which facilitates the execution of trades by our clients. The access to our electronic marketplaces includes market data and continuous pricing data refreshes and the processing and reporting of trades thereon, which are highly interrelated services. The stand-ready connection to our electronic marketplaces is considered a single performance obligation satisfied over time as the client simultaneously receives and consumes the benefit from our performance as access is provided. This performance obligation constitutes a series of services that are substantially the same in nature and are provided over time using the same measure of progress.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For our services, we may earn subscription fees for granting access to our electronic marketplaces. We may also earn transaction fees and/or commissions from transactions executed on our trading platform, including the basis point commissions earned on the monthly ADB of money market fund investments made through our ICD Portal and commission revenue from electronic and voice brokerage transacted on a riskless principal basis. Riskless principal revenues are derived on matched principal transactions where revenues are earned on the spread between the buy and sell price of the transacted product. Fixed monthly transaction fees and commissions or monthly transaction fee and commission minimums are generally earned on a monthly basis in the period the stand-ready trading services are provided. Variable transaction fee and commission revenue associated with a particular trade is recognized and recorded on a trade-date basis when the individual trade occurs. Variable commission revenue based upon a clients’ ADB invested in money market funds during a calendar month is recorded monthly. Variable discounts or rebates on transaction fees and commissions are generally earned and applied monthly or quarterly, are resolved within the same reporting period and are recorded as a reduction to revenue in the period the relevant trades occur.</w:t>
      </w:r>
    </w:p>
    <w:p>
      <w:pPr>
        <w:spacing w:after="0" w:line="16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earn fees from LSEG relating to the sale of market data to LSEG, which distributes that data. Included in these fees are real-time market data fees which are recognized monthly on a straight-line basis as LSEG receives and consumes the benefit evenly, over the contract period, as the data is provided, and fees for historical data sets which are recognized when the historical data set is provided to LSEG.</w:t>
      </w:r>
    </w:p>
    <w:p>
      <w:pPr>
        <w:spacing w:after="0" w:line="13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are required to make significant judgments for the LSEG market data fees. Significant judgments used in accounting for this contract include the following determinations:</w:t>
      </w:r>
    </w:p>
    <w:p>
      <w:pPr>
        <w:spacing w:after="0" w:line="121"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real-time market data feeds and historical data sets are distinct performance obligations.</w:t>
      </w:r>
    </w:p>
    <w:p>
      <w:pPr>
        <w:spacing w:after="0" w:line="19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obligations under this contract are recognized over time from the initial delivery of the data feeds until the end of the contract term or at a point in time upon delivery of each historical data set.</w:t>
      </w:r>
    </w:p>
    <w:p>
      <w:pPr>
        <w:spacing w:after="0" w:line="121"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prices for the performance obligations were determined by using an adjusted market assessment analysis. Inputs in this analysis included publicly available price lists for data sets provided by other companies, planned internal pricing strategies and other market data points and adjustments obtained through consultations with market data industry experts regarding estimating a standalone selling price for each performance obligation.</w:t>
      </w:r>
    </w:p>
    <w:p>
      <w:pPr>
        <w:spacing w:after="0" w:line="13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each of the three and nine months ended September 30, 2026 and 2025, there were no material changes in the methodology or assumptions used to determine the LSEG market data fees.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stock-based payments received by the employees of the Company are accounted for as equity awards. The Company measures and recognizes the cost of employee services received in exchange for awards of equity instruments based on their estimated fair values measured as of the grant date.</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PSUs, the Company recognizes stock-based compensation based on the estimated grant date fair value of the awards computed with the assistance of a valuation specialist using a Monte Carlo simulation on a binomial model, which represents a significant accounting estimate given the significant level of estimation uncertainty relating to the selection of valuation assumptions required for the valuation. The significant assumptions used to estimate the fair value of the PSUs are years of maturity, annualized volatility and the risk-free interest rate. The maturity period represents the period of time that the award granted was modeled into the future, the risk-free interest rate is based on the U.S. Treasury yield curve in effect at the time of measurement corresponding with the maturity period of the award and the expected volatility is based upon historical volatility of the Company’s Class A common stock. On March 15, 2026, we granted 113,428 PSUs with a grant date fair value totaling $19.9 million, which will be amortized into expense on a straight-line basis through December 31, 2028. The significant assumptions used in determining the grant date fair value of the award were a maturity of 2.8 years, annualized volatility of 25.33% and a risk-free interest rate of 3.67%. A change in any of the assumptions used to value these awards could materially affect stock-based compensation expense recorded in the current and future periods. During each of the three and nine months ended September 30, 2026 and 2025, there were no material changes in the methodology or assumptions used to determine the valuation of our annual PSU grants.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For PRSUs, the Company recognizes stock-based compensation based on the fair market value of our Class A common stock at the grant date and an estimate of the number of shares included in expense each period is based on management’s estimate of the probable final performance modifier for those grants, with such estimate updated each period until the performance modifier is finalized. For PRSUs granted in 2024 and after, the financial performance of the Company will be determined based on the compound annual growth rate over a three-year performance period beginning on January 1 in the year of grant and the performance modifier can vary between 0% (minimum) and 250% (maximum) of the target (100%) award amount. As of September 30, 2026, a 10% decrease in the estimated final share payouts would decrease the total expense recognized for these awards for the three and nine months ended September 30, 2026 by approximately $7.3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Tradeweb Markets Inc. is subject to U.S. federal, state and local income taxes with respect to its taxable income, including its allocable share of any taxable income of TWM LLC, and is taxed at prevailing corporate tax rates. TWM LLC is a multiple member limited liability company taxed as a partnership and accordingly any taxable income generated by TWM LLC is passed through to and included in the taxable income of its members, including to us. TWM LLC records taxes for conducting business in certain state, local and foreign jurisdictions and records U.S. federal taxes for subsidiaries that are taxed as corporations for U.S. tax purposes. We currently record deferred tax assets and liabilities for the expected future tax consequences of temporary differences between the financial reporting and tax bases of assets and liabilities and measure the deferred taxes using the enacted tax rates and laws that will be in effect when such temporary differences are expected to reverse. The measurement of deferred taxes often involves the exercise of significant judgment related to the realization of tax basis. Our deferred tax assets and liabilities reflect our assessment that tax positions taken in filed tax returns and the resulting tax basis are more likely than not to be sustained if they are audited by taxing authorities. Assessing tax rates that we expect to apply and determining the years when the temporary differences are expected to affect taxable income requires judgment about the future apportionment of our income among the jurisdictions in which we operate. Any changes in our practices or judgments involved in the measurement of deferred tax assets and liabilities could materially impact our financial condition or results of operations.</w:t>
      </w:r>
    </w:p>
    <w:p>
      <w:pPr>
        <w:spacing w:after="0" w:line="14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connection with recording deferred tax assets and liabilities, we record valuation allowances when we believe that it is more likely than not that the Company will not be able to realize its deferred tax assets in the future. We evaluate our deferred tax assets quarterly to determine whether adjustments to our valuation allowance are appropriate in light of changes in facts or circumstances, such as changes in tax law, interactions with taxing authorities and developments in case law. In making this evaluation, we rely on our recent history of pre-tax earnings, our forecasts of future earnings and the nature and timing of future deductions and benefits represented by the deferred tax assets, all of which involve the exercise of significant judgment. As of both September 30, 2026 and December 31, 2025, we had a $3.0 million valuation allowance established on our deferred tax assets. If forecasts of future earnings and the nature and estimated timing of future deductions and benefits change in the future, we may determine that existing valuation allowances must be revised or new valuation allowances created, any of which could materially impact our financial condition or results of operations. See Note 5 – Income Taxes to our unaudited condensed consolidated financial statements included elsewhere in this Quarterly Report on Form 10-Q.</w:t>
      </w:r>
    </w:p>
    <w:p>
      <w:pPr>
        <w:spacing w:after="0" w:line="16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recognize interest and penalties related to unrecognized tax benefits within the provision for income taxes in our condensed consolidated statements of income. Accrued interest and penalties are included within accounts payable, accrued expenses and other liabilities in our condensed consolidated statements of financial condition. A U.S. shareholder of a controlled foreign corporation (“CFC”) is required to include in income, as a deemed dividend, the global intangible low-taxed income (“GILTI”) of the CFC. We have elected to treat taxes due on future U.S. inclusions in taxable income of GILTI as a current period expense when incurred.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0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Tradeweb Markets Inc. entered into a Tax Receivable Agreement with TWM LLC and the Continuing LLC Owners which provides for the payment by Tradeweb Markets Inc. to a Continuing LLC Owner of 50% of the amount of U.S. federal, state and local income or franchise tax savings, if any, that Tradeweb Markets Inc. actually realizes (or in some circumstances is deemed to realize) as a result of (i) increases in the tax basis of TWM LLC’s assets resulting from (a) the purchase of LLC Interests from such Continuing LLC Owner, including with the net proceeds from the IPO, the October 2019 and April 2020 follow-on offerings and any future offering or (b) redemptions or exchanges by such Continuing LLC Owner of LLC Interests for shares of Class A common stock or Class B common stock or for cash, as applicable, and (ii) certain other tax benefits related to Tradeweb Markets Inc. making payments under the Tax Receivable Agreement. Substantially all payments due under the Tax Receivable Agreement are payable over the 15 years following the purchase of LLC Interests from Continuing LLC Owners or redemption or exchanges by Continuing LLC Owners of LLC Interests. The timing of the payments over the 15 year period is dependent upon our annual taxable income over the same period. In determining the estimated timing of payments, the current year’s taxable income is used to extrapolate an estimate of future taxable income. This requires significant judgment relating to projecting future earnings, the geographic mix of those earnings and the timing of deferred taxes becoming current.</w:t>
      </w:r>
    </w:p>
    <w:p>
      <w:pPr>
        <w:spacing w:after="0" w:line="15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impact of any changes in the total projected obligations recorded under the Tax Receivable Agreement as a result of actual changes in the geographic mix of our earnings, changes in tax legislation and tax rates or other factors that may impact our actual tax savings realized will be reflected in income before taxes in the period in which the change occurs.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See Note 2 – Significant Accounting Policies to the condensed consolidated financial statements included elsewhere in this Quarterly Report on Form 10-Q for a discussion of recent accounting pronouncements.</w:t>
      </w:r>
    </w:p>
    <w:p>
      <w:pPr>
        <w:spacing w:after="0" w:line="117" w:lineRule="exact"/>
        <w:rPr>
          <w:sz w:val="20"/>
          <w:szCs w:val="20"/>
          <w:color w:val="auto"/>
        </w:rPr>
      </w:pPr>
    </w:p>
    <w:p>
      <w:pPr>
        <w:ind w:right="408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ITEM 3. QUANTITATIVE AND QUALITATIVE DISCLOSURES ABOUT MARKET RISK </w:t>
      </w:r>
      <w:r>
        <w:rPr>
          <w:rFonts w:ascii="Times New Roman" w:cs="Times New Roman" w:eastAsia="Times New Roman" w:hAnsi="Times New Roman"/>
          <w:sz w:val="18"/>
          <w:szCs w:val="18"/>
          <w:b w:val="1"/>
          <w:bCs w:val="1"/>
          <w:i w:val="1"/>
          <w:iCs w:val="1"/>
          <w:color w:val="auto"/>
        </w:rPr>
        <w:t>Foreign Currency and Derivative Risk</w:t>
      </w:r>
    </w:p>
    <w:p>
      <w:pPr>
        <w:ind w:right="500"/>
        <w:spacing w:after="0" w:line="282" w:lineRule="auto"/>
        <w:rPr>
          <w:sz w:val="20"/>
          <w:szCs w:val="20"/>
          <w:color w:val="auto"/>
        </w:rPr>
      </w:pPr>
      <w:r>
        <w:rPr>
          <w:rFonts w:ascii="Times New Roman" w:cs="Times New Roman" w:eastAsia="Times New Roman" w:hAnsi="Times New Roman"/>
          <w:sz w:val="18"/>
          <w:szCs w:val="18"/>
          <w:color w:val="auto"/>
        </w:rPr>
        <w:t>We have global operations and substantial portions of our revenues, expenses, assets and liabilities are generated and denominated in non-U.S. dollar currencies.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percentage breakdown of our revenue and operating expenses denominated in currencies other than the U.S. dollar for the three and nine months ended September 30, 2026 and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hanging="194"/>
        <w:spacing w:after="0"/>
        <w:tabs>
          <w:tab w:leader="none" w:pos="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revenue denominated in foreign currencies </w:t>
      </w:r>
      <w:r>
        <w:rPr>
          <w:rFonts w:ascii="Times New Roman" w:cs="Times New Roman" w:eastAsia="Times New Roman" w:hAnsi="Times New Roman"/>
          <w:sz w:val="9"/>
          <w:szCs w:val="9"/>
          <w:color w:val="auto"/>
        </w:rPr>
        <w:t>(1)</w:t>
      </w:r>
    </w:p>
    <w:p>
      <w:pPr>
        <w:spacing w:after="0" w:line="63" w:lineRule="exact"/>
        <w:rPr>
          <w:rFonts w:ascii="Times New Roman" w:cs="Times New Roman" w:eastAsia="Times New Roman" w:hAnsi="Times New Roman"/>
          <w:sz w:val="18"/>
          <w:szCs w:val="18"/>
          <w:color w:val="auto"/>
        </w:rPr>
      </w:pPr>
    </w:p>
    <w:p>
      <w:pPr>
        <w:ind w:left="220" w:hanging="194"/>
        <w:spacing w:after="0"/>
        <w:tabs>
          <w:tab w:leader="none" w:pos="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operating expenses denominated in foreign currencies </w:t>
      </w:r>
      <w:r>
        <w:rPr>
          <w:rFonts w:ascii="Times New Roman" w:cs="Times New Roman" w:eastAsia="Times New Roman" w:hAnsi="Times New Roman"/>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6"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in foreign currencies is primarily denominated in euros.</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 foreign currencies are primarily denominated in British pounds sterling.</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360" w:type="dxa"/>
            <w:vAlign w:val="bottom"/>
            <w:gridSpan w:val="4"/>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1980" w:type="dxa"/>
            <w:vAlign w:val="bottom"/>
            <w:gridSpan w:val="3"/>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880" w:type="dxa"/>
            <w:vAlign w:val="bottom"/>
            <w:gridSpan w:val="3"/>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3"/>
        </w:trPr>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40" w:type="dxa"/>
            <w:vAlign w:val="bottom"/>
            <w:vMerge w:val="restart"/>
          </w:tcPr>
          <w:p>
            <w:pPr>
              <w:spacing w:after="0"/>
              <w:rPr>
                <w:sz w:val="2"/>
                <w:szCs w:val="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6"/>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w:t>
            </w:r>
          </w:p>
        </w:tc>
        <w:tc>
          <w:tcPr>
            <w:tcW w:w="1880" w:type="dxa"/>
            <w:vAlign w:val="bottom"/>
            <w:gridSpan w:val="2"/>
          </w:tcPr>
          <w:p>
            <w:pPr>
              <w:jc w:val="center"/>
              <w:ind w:left="456"/>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880" w:type="dxa"/>
            <w:vAlign w:val="bottom"/>
          </w:tcPr>
          <w:p>
            <w:pPr>
              <w:jc w:val="center"/>
              <w:ind w:left="359"/>
              <w:spacing w:after="0"/>
              <w:rPr>
                <w:sz w:val="20"/>
                <w:szCs w:val="20"/>
                <w:color w:val="auto"/>
              </w:rPr>
            </w:pPr>
            <w:r>
              <w:rPr>
                <w:rFonts w:ascii="Times New Roman" w:cs="Times New Roman" w:eastAsia="Times New Roman" w:hAnsi="Times New Roman"/>
                <w:sz w:val="18"/>
                <w:szCs w:val="18"/>
                <w:color w:val="auto"/>
                <w:w w:val="96"/>
              </w:rPr>
              <w:t>31%</w:t>
            </w:r>
          </w:p>
        </w:tc>
        <w:tc>
          <w:tcPr>
            <w:tcW w:w="1880" w:type="dxa"/>
            <w:vAlign w:val="bottom"/>
            <w:gridSpan w:val="3"/>
          </w:tcPr>
          <w:p>
            <w:pPr>
              <w:jc w:val="center"/>
              <w:ind w:left="456"/>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w:t>
            </w:r>
          </w:p>
        </w:tc>
        <w:tc>
          <w:tcPr>
            <w:tcW w:w="1880" w:type="dxa"/>
            <w:vAlign w:val="bottom"/>
            <w:gridSpan w:val="2"/>
          </w:tcPr>
          <w:p>
            <w:pPr>
              <w:jc w:val="center"/>
              <w:ind w:left="456"/>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880" w:type="dxa"/>
            <w:vAlign w:val="bottom"/>
          </w:tcPr>
          <w:p>
            <w:pPr>
              <w:jc w:val="center"/>
              <w:ind w:left="359"/>
              <w:spacing w:after="0"/>
              <w:rPr>
                <w:sz w:val="20"/>
                <w:szCs w:val="20"/>
                <w:color w:val="auto"/>
              </w:rPr>
            </w:pPr>
            <w:r>
              <w:rPr>
                <w:rFonts w:ascii="Times New Roman" w:cs="Times New Roman" w:eastAsia="Times New Roman" w:hAnsi="Times New Roman"/>
                <w:sz w:val="18"/>
                <w:szCs w:val="18"/>
                <w:color w:val="auto"/>
                <w:w w:val="96"/>
              </w:rPr>
              <w:t>18%</w:t>
            </w:r>
          </w:p>
        </w:tc>
        <w:tc>
          <w:tcPr>
            <w:tcW w:w="1880" w:type="dxa"/>
            <w:vAlign w:val="bottom"/>
            <w:gridSpan w:val="3"/>
          </w:tcPr>
          <w:p>
            <w:pPr>
              <w:jc w:val="center"/>
              <w:ind w:left="456"/>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-479425</wp:posOffset>
            </wp:positionV>
            <wp:extent cx="17576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57680" cy="8890"/>
                    </a:xfrm>
                    <a:prstGeom prst="rect">
                      <a:avLst/>
                    </a:prstGeom>
                    <a:noFill/>
                  </pic:spPr>
                </pic:pic>
              </a:graphicData>
            </a:graphic>
          </wp:anchor>
        </w:drawing>
      </w:r>
    </w:p>
    <w:p>
      <w:pPr>
        <w:spacing w:after="0" w:line="602" w:lineRule="exact"/>
        <w:rPr>
          <w:sz w:val="20"/>
          <w:szCs w:val="20"/>
          <w:color w:val="auto"/>
        </w:rPr>
      </w:pPr>
    </w:p>
    <w:p>
      <w:pPr>
        <w:sectPr>
          <w:pgSz w:w="11900" w:h="16838" w:orient="portrait"/>
          <w:cols w:equalWidth="0" w:num="2">
            <w:col w:w="5780" w:space="340"/>
            <w:col w:w="5120"/>
          </w:cols>
          <w:pgMar w:left="320" w:top="121" w:right="339" w:bottom="1440" w:gutter="0" w:footer="0" w:header="0"/>
          <w:type w:val="continuous"/>
        </w:sect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Revenues, expenses, assets and liabilities denominated in non-functional currencies are recorded in the appropriate functional currency for the legal entity at the rate of exchange prevailing at the transaction date. Monetary assets and liabilities that are denominated in non-functional currencies are then remeasured at the end of each reporting period at the exchange rate prevailing at the end of the reporting period. Foreign currency remeasurement gains or losses on monetary assets and liabilities in nonfunctional currencies are recognized in the condensed consolidated statements of income within general and administrative expenses. Realized and unrealized gains/losses from foreign currency remeasurement of transactions in nonfunctional currencies recognized in the condensed consolidated statements of income within general and administrative expense totaled a loss of $0.4 million and a gain of $2.1 million during the three months ended September 30, 2026 and 2025, respectively, and a loss of $2.2 million and a gain of $4.7 million during the nine months ended September 30, 2026 and 2025, respectively.</w:t>
      </w:r>
    </w:p>
    <w:p>
      <w:pPr>
        <w:spacing w:after="0" w:line="15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Since our condensed consolidated financial statements are presented in U.S. dollars, we also translate all non-U.S. dollar functional currency revenues, expenses, assets and liabilities into U.S. dollars. All non-U.S. dollar functional currency revenue and expense amounts are translated into U.S. dollars monthly at the average exchange rate for the month. All non-U.S. dollar functional currency assets and liabilities are translated at the rate prevailing at the end of the reporting period. Gains or losses on translation in the financial statements, when the functional currency is other than the U.S. dollar, are included as a component of other comprehensive income. Accordingly, increases or decreases in the value of the U.S. dollar against the other currencies will affect our operating revenues, operating income and the value of balance sheet items.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Aside from U.S. dollars, a significant portion of our revenues are denominated in euros and a significant portion of our expenses are denominated in British pound sterling. The following table shows the average foreign currency exchange rates to the U.S. dollar for the three and nine months ended September 30, 2026 and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30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60" w:type="dxa"/>
            <w:vAlign w:val="bottom"/>
          </w:tcPr>
          <w:p>
            <w:pPr>
              <w:spacing w:after="0"/>
              <w:rPr>
                <w:sz w:val="16"/>
                <w:szCs w:val="16"/>
                <w:color w:val="auto"/>
              </w:rPr>
            </w:pPr>
          </w:p>
        </w:tc>
      </w:tr>
      <w:tr>
        <w:trPr>
          <w:trHeight w:val="203"/>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7"/>
                <w:szCs w:val="17"/>
                <w:color w:val="auto"/>
              </w:rPr>
            </w:pPr>
          </w:p>
        </w:tc>
      </w:tr>
      <w:tr>
        <w:trPr>
          <w:trHeight w:val="23"/>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0"/>
        </w:trPr>
        <w:tc>
          <w:tcPr>
            <w:tcW w:w="56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r>
      <w:tr>
        <w:trPr>
          <w:trHeight w:val="25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Euros</w:t>
            </w: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7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3"/>
                <w:szCs w:val="23"/>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3"/>
                <w:szCs w:val="23"/>
                <w:color w:val="auto"/>
              </w:rPr>
            </w:pP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3"/>
                <w:szCs w:val="23"/>
                <w:color w:val="auto"/>
              </w:rPr>
            </w:pP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bl>
    <w:p>
      <w:pPr>
        <w:spacing w:after="0" w:line="252"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shows the change in revenue and operating income caused by fluctuations in foreign currency rates used in translation during the three and nine months ended September 30, 2026 and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Impact of Foreign Currency Rate Fluctuations (dollars in thousands)</w:t>
            </w:r>
          </w:p>
        </w:tc>
        <w:tc>
          <w:tcPr>
            <w:tcW w:w="100" w:type="dxa"/>
            <w:vAlign w:val="bottom"/>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revenue</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13,900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0" w:type="dxa"/>
            <w:vAlign w:val="bottom"/>
          </w:tcPr>
          <w:p>
            <w:pPr>
              <w:spacing w:after="0"/>
              <w:rPr>
                <w:sz w:val="1"/>
                <w:szCs w:val="1"/>
                <w:color w:val="auto"/>
              </w:rPr>
            </w:pPr>
          </w:p>
        </w:tc>
      </w:tr>
      <w:tr>
        <w:trPr>
          <w:trHeight w:val="234"/>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(decrease) in operating income</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10,200</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shows the impact a hypothetical 10% increase or decrease in the U.S. dollar against all other currencies and a hypothetical 10% increase or decrease in only euro or only British pound sterling exchange rates would have on the translation of actual revenue and operating income for the three and nine months ended September 30, 2026 and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5"/>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Hypothetical 10% Change in Value of U.S. Dollar (dollars in thousands)</w:t>
            </w: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5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All currencies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23"/>
                <w:szCs w:val="23"/>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8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61,500</w:t>
            </w:r>
          </w:p>
        </w:tc>
        <w:tc>
          <w:tcPr>
            <w:tcW w:w="80" w:type="dxa"/>
            <w:vAlign w:val="bottom"/>
          </w:tcPr>
          <w:p>
            <w:pPr>
              <w:spacing w:after="0"/>
              <w:rPr>
                <w:sz w:val="23"/>
                <w:szCs w:val="23"/>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51,900</w:t>
            </w:r>
          </w:p>
        </w:tc>
        <w:tc>
          <w:tcPr>
            <w:tcW w:w="0" w:type="dxa"/>
            <w:vAlign w:val="bottom"/>
          </w:tcPr>
          <w:p>
            <w:pPr>
              <w:spacing w:after="0"/>
              <w:rPr>
                <w:sz w:val="1"/>
                <w:szCs w:val="1"/>
                <w:color w:val="auto"/>
              </w:rPr>
            </w:pPr>
          </w:p>
        </w:tc>
      </w:tr>
      <w:tr>
        <w:trPr>
          <w:trHeight w:val="27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42,200</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Euros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45,300</w:t>
            </w: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10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53,200</w:t>
            </w:r>
          </w:p>
        </w:tc>
        <w:tc>
          <w:tcPr>
            <w:tcW w:w="8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44,100</w:t>
            </w: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British pound sterling</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10% change on revenue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tcPr>
          <w:p>
            <w:pPr>
              <w:spacing w:after="0"/>
              <w:rPr>
                <w:sz w:val="19"/>
                <w:szCs w:val="19"/>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10% change on operating income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derivative risk relating to our foreign exchange derivative contracts. We enter into foreign currency forward contracts to mitigate our U.S. dollar and British pound sterling versus euro exposure, generally with a duration of not more than 12 months. We do not use derivative instruments for trading or speculative purposes. As of September 30, 2026 and December 31, 2025, the notional amount of our foreign currency forward contracts was $369.4 million and $339.8 million, respectively. Realized and unrealized gains/losses on foreign currency forward contracts totaled a gain of $4.0 million and a loss of $1.8 million during the three months ended September 30, 2026 and 2025, respectively, and a gain of $14.2 million and a loss of $22.6 million during the nine months ended September 30, 2026 and 2025, respectively.</w:t>
      </w:r>
    </w:p>
    <w:p>
      <w:pPr>
        <w:spacing w:after="0" w:line="16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By using derivative instruments to hedge exposures to foreign currency fluctuations, we are exposed to credit risk. Credit risk is the failure of the counterparty to perform under the terms of the derivative contract. When the fair value of a derivative contract is positive, the counterparty owes us, which creates credit risk for us. When the fair value of a derivative contract is negative, we owe the counterparty and, therefore, we are not exposed to the counterparty’s credit risk in those circumstances. We attempt to minimize counterparty credit risk in derivative instruments by entering into transactions with high-quality counterparties whose credit rating is at least upper-medium investment grade. As of September 30, 2026 and December 31, 2025, the counterparty on each of the foreign exchange derivative contracts was an affiliate of LSEG.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0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and highly liquid investments held by a limited number of global financial institutions, including cash amounts in excess of federally insured limits. To mitigate this concentration of credit risk, the Company invests through high-credit-quality financial institutions, monitors the concentration of credit exposure of investments with any single obligor and diversifies as determined appropriate.</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credit risk relating to our receivables, which are primarily receivables from financial institutions, including investment managers and brokers and dealers. As of September 30, 2026 and December 31, 2025, the allowance for credit losses with regard to these receivables totaled $0.1 million and $0.6 million, respectively.</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normal course of our business, we, as an agent, execute transactions with, and on behalf of, other brokers and dealers. If these transactions do not settle because of failure to perform by either counterparty, we may be obligated to discharge the obligation of the non-performing party and, as a result, may incur a loss if the market value of the instrument is different than the contractual amount. This credit risk exposure can be directly impacted by volatile trading markets, as our clients may be unable to satisfy their contractual obligations during volatile trading markets.</w:t>
      </w:r>
    </w:p>
    <w:p>
      <w:pPr>
        <w:spacing w:after="0" w:line="15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Additionally, in the normal course of business, the Company, as an introducing broker, executes transactions on behalf of or with clients of the Company, which are cleared by a clearing broker. Under the arrangement between the Company and the clearing broker, the Company is responsible for losses that may result from the clearing broker’s rejection, reversal or cancellation of a transaction. If there are temporary errors or delays in the processing or settlement of transactions, the clearing broker may require, usually with two business days’ notice, that the Company provide cash deposits until the errors are resolved.</w:t>
      </w:r>
    </w:p>
    <w:p>
      <w:pPr>
        <w:spacing w:after="0" w:line="14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also have credit risk relating to our investments in a digital asset loan receivable and available-for-sale debt securities. As of December 31, 2025, the Company maintained an allowance for credit loss with regards to its digital asset loan receivable totaling $0.2 million, based on a review of the credit risk of the counterparty and the characteristics of the arrangement. In January 2026, upon CNTN shareholder approval for the issuance of the PFWs, the digital asset loan receivable and the related allowance for credit loss were reversed, resulting in a reversal of credit loss expense totaling $0.2 million during the nine months ended September 30, 2026. See Note 10 – Fair Value of Financial Instruments and Other Assets to our unaudited condensed consolidated financial statements included elsewhere in this Quarterly Report on Form 10-Q for additional details. There was no allowance for credit losses recorded on available-for-sale debt securities as of December 31, 2025. As further described in Note 10 – Fair Value of Financial Instruments and Other Assets to our unaudited condensed consolidated financial statements included elsewhere in this Quarterly Report on Form 10-Q, in July 2026, the Company’s available-for-sale debt security was converted into equity securities.</w:t>
      </w:r>
    </w:p>
    <w:p>
      <w:pPr>
        <w:spacing w:after="0" w:line="14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policy is to monitor our market exposure and counterparty risk. Counterparties are evaluated for creditworthiness and risk assessment prior to our initiating contract activities. The counterparties’ creditworthiness is then monitored on an ongoing basis, and credit levels are reviewed to ensure that there is not an inappropriate concentration of credit outstanding to any particular counterparty.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Our management has evaluated, under the supervision of our Chief Executive Officer (“CEO”) and Chief Financial Officer (“CFO”), the effectiveness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of the Exchange Act,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Based on that evaluation, our CEO and CFO have concluded that our disclosure controls and procedures 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are effective at a reasonable assurance level in ensuring that information required to be disclosed in our Exchange Act reports is (1) recorded, processed, summarized and reported in a timely manner and (2) accumulated and communicated to our management, including our CEO and CFO, as appropriate to allow timely decisions regarding required disclosure. Our management, including our CEO and CFO, does not expect that our disclosure controls and procedures will prevent or detect all errors and all fraud. While our disclosure controls and procedures are designed to provide reasonable assurance of their effectiveness, because of the inherent limitations in all control systems, no evaluation of controls can provide absolute assurance that all control issues and instances of fraud, if any, within the Company have been detected.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quarter ended September 30, 2026 that have materially affected, or that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to the condensed consolidated financial statements included elsewhere in this Quarterly Report on Form 10-Q, there have been no material changes from the legal proceedings previously disclosed under the heading “Item 3. Legal Proceedings” in Part I of our 2025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principal risks that we believe are material to our business, results of operations and financial condition, from the risk factors previously disclosed in “Item 1A. Risk Factors” in Part I of our 2025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we repurchased the following shares of Class A common stock pursuant to the Company’s share repurchase programs: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 Paid</w:t>
            </w:r>
          </w:p>
        </w:tc>
      </w:tr>
      <w:tr>
        <w:trPr>
          <w:trHeight w:val="190"/>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37"/>
        </w:trPr>
        <w:tc>
          <w:tcPr>
            <w:tcW w:w="5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75"/>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176"/>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May Yet Be</w:t>
            </w:r>
          </w:p>
        </w:tc>
      </w:tr>
      <w:tr>
        <w:trPr>
          <w:trHeight w:val="162"/>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90"/>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9"/>
                <w:szCs w:val="9"/>
                <w:b w:val="1"/>
                <w:bCs w:val="1"/>
                <w:color w:val="auto"/>
              </w:rPr>
              <w:t>(1)</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9"/>
                <w:szCs w:val="9"/>
                <w:b w:val="1"/>
                <w:bCs w:val="1"/>
                <w:color w:val="auto"/>
              </w:rPr>
              <w:t>(1)</w:t>
            </w:r>
          </w:p>
        </w:tc>
      </w:tr>
      <w:tr>
        <w:trPr>
          <w:trHeight w:val="37"/>
        </w:trPr>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13"/>
        </w:trPr>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bl>
    <w:p>
      <w:pPr>
        <w:spacing w:after="0" w:line="23" w:lineRule="exact"/>
        <w:rPr>
          <w:sz w:val="20"/>
          <w:szCs w:val="20"/>
          <w:color w:val="auto"/>
        </w:rPr>
      </w:pPr>
    </w:p>
    <w:p>
      <w:pPr>
        <w:sectPr>
          <w:pgSz w:w="11900" w:h="16838" w:orient="portrait"/>
          <w:cols w:equalWidth="0" w:num="2">
            <w:col w:w="8360" w:space="80"/>
            <w:col w:w="2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2026 – July 31, 2026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102,194</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324,331</w:t>
            </w: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2026 – August 31, 2026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897,748</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229,409</w:t>
            </w: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2026 – September 30, 2026</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1,020,613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w:t>
            </w:r>
          </w:p>
        </w:tc>
        <w:tc>
          <w:tcPr>
            <w:tcW w:w="8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1,020,613</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124,503</w:t>
            </w: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2,020,555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2,020,555</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47" w:lineRule="exact"/>
        <w:rPr>
          <w:sz w:val="20"/>
          <w:szCs w:val="20"/>
          <w:color w:val="auto"/>
        </w:rPr>
      </w:pPr>
    </w:p>
    <w:p>
      <w:pPr>
        <w:ind w:left="340" w:right="80" w:hanging="332"/>
        <w:spacing w:after="0" w:line="281" w:lineRule="auto"/>
        <w:tabs>
          <w:tab w:leader="none" w:pos="33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5, 2026, our board of directors authorized the 2026 Share Repurchase Program for the purchase of up to $500.0 million of our Class A common stock, which became available beginning in May 2026, after completing the $300.0 million of total repurchases of the Company’s Class A common stock authorized under the 2022 Share Repurchase Program. As of September 30, 2026, $124.5 million remained available for repurchase pursuant to the 2026 Share Repurchase Program.</w:t>
      </w:r>
    </w:p>
    <w:p>
      <w:pPr>
        <w:spacing w:after="0" w:line="136" w:lineRule="exact"/>
        <w:rPr>
          <w:rFonts w:ascii="Times New Roman" w:cs="Times New Roman" w:eastAsia="Times New Roman" w:hAnsi="Times New Roman"/>
          <w:sz w:val="14"/>
          <w:szCs w:val="14"/>
          <w:color w:val="auto"/>
        </w:rPr>
      </w:pPr>
    </w:p>
    <w:p>
      <w:pPr>
        <w:ind w:left="340" w:right="20"/>
        <w:spacing w:after="0" w:line="26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share repurchase programs authorize the repurchase of shares of the Company’s Class A common stock to offset annual dilution from stock-based compensation plans, as well as to opportunistically repurchase our Class A common stock. Pursuant to these share repurchase programs, we may make repurchases in the open market, through privately negotiated transactions, through accelerated repurchase programs (including through the use of derivatives), pursuant to Rule 10b5-1 plans or through enhanced open-market repurchases (eOMR). Any share repurchases are conducted in compliance with applicable legal requirements and the manner, timing and amount of any repurchases are based on an evaluation of market conditions, stock price and other factors. Our share repurchase programs do not require the Company to acquire a specific number of shares, have no termination date and may be suspended, amended or discontinued at any time.</w:t>
      </w:r>
    </w:p>
    <w:p>
      <w:pPr>
        <w:spacing w:after="0" w:line="148" w:lineRule="exact"/>
        <w:rPr>
          <w:rFonts w:ascii="Times New Roman" w:cs="Times New Roman" w:eastAsia="Times New Roman" w:hAnsi="Times New Roman"/>
          <w:sz w:val="14"/>
          <w:szCs w:val="14"/>
          <w:color w:val="auto"/>
        </w:rPr>
      </w:pPr>
    </w:p>
    <w:p>
      <w:pPr>
        <w:jc w:val="both"/>
        <w:ind w:left="340" w:right="160"/>
        <w:spacing w:after="0" w:line="28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Class A common stock repurchased pursuant to our share repurchase programs was funded with the proceeds, on a dollar-for-dollar basis, from the repurchase by Tradeweb Markets LLC of an LLC Interest directly from the Corporation in order to maintain (subject to certain exceptions) the one-to-one ratio between outstanding shares of the Class A common stock and Class B common stock and the LLC Interests owned by the Corporation.</w:t>
      </w:r>
    </w:p>
    <w:p>
      <w:pPr>
        <w:spacing w:after="0" w:line="14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table above does not reflect shares surrendered to cover the payroll tax withholding obligations upon the exercise of stock options and vesting of PRSUs, PSUs and RSUs. During the three months ended September 30, 2026, the Company withheld 8,976 shares of Class A common stock in connection with such exercises and vesting of stock awards.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7" w:lineRule="exact"/>
        <w:rPr>
          <w:sz w:val="20"/>
          <w:szCs w:val="20"/>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None.</w:t>
      </w:r>
    </w:p>
    <w:p>
      <w:pPr>
        <w:spacing w:after="0" w:line="19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None.</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Trading Plans of Executive Officers and Director</w:t>
      </w:r>
      <w:r>
        <w:rPr>
          <w:rFonts w:ascii="Times New Roman" w:cs="Times New Roman" w:eastAsia="Times New Roman" w:hAnsi="Times New Roman"/>
          <w:sz w:val="18"/>
          <w:szCs w:val="18"/>
          <w:color w:val="auto"/>
        </w:rPr>
        <w:t>s</w:t>
      </w:r>
    </w:p>
    <w:p>
      <w:pPr>
        <w:spacing w:after="0" w:line="173"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directors or executive officers adopted, modified or terminated a trading plan intended to satisfy the affirmative defense conditions of Rule 10b5-1(c) under the Exchange Act, as defined in Item 408 of Regulation S-K (“Rule 10b5-1 trading arrangements”) or a non-Rule 10b5-1 trading arrangement (as defined in Item 408 of Regulation S-K).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240" w:type="dxa"/>
            <w:vAlign w:val="bottom"/>
            <w:gridSpan w:val="11"/>
          </w:tcPr>
          <w:p>
            <w:pPr>
              <w:ind w:left="27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3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4"/>
                <w:szCs w:val="24"/>
                <w:color w:val="auto"/>
              </w:rPr>
            </w:pPr>
          </w:p>
        </w:tc>
        <w:tc>
          <w:tcPr>
            <w:tcW w:w="9620" w:type="dxa"/>
            <w:vAlign w:val="bottom"/>
            <w:gridSpan w:val="12"/>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Restated Certificate of Incorporation of Tradeweb Markets Inc. (incorporated by reference to Exhibit 3.2 to the Company’s Current</w:t>
              </w:r>
            </w:hyperlink>
          </w:p>
        </w:tc>
      </w:tr>
      <w:tr>
        <w:trPr>
          <w:trHeight w:val="155"/>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Report on Form 8-K filed on May 20, 2026 (File No. 001-38860)).</w:t>
              </w:r>
            </w:hyperlink>
          </w:p>
        </w:tc>
        <w:tc>
          <w:tcPr>
            <w:tcW w:w="180" w:type="dxa"/>
            <w:vAlign w:val="bottom"/>
            <w:gridSpan w:val="2"/>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9620" w:type="dxa"/>
            <w:vAlign w:val="bottom"/>
            <w:gridSpan w:val="12"/>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Amended and Restated Bylaws of Tradeweb Markets Inc., effective April 29, 2026 (incorporated by reference to Exhibit 3.2 to the</w:t>
              </w:r>
            </w:hyperlink>
          </w:p>
        </w:tc>
      </w:tr>
      <w:tr>
        <w:trPr>
          <w:trHeight w:val="156"/>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Company’s Form 10-Q filed on April 29, 2026 (File No. 001-38860)).</w:t>
              </w:r>
            </w:hyperlink>
          </w:p>
        </w:tc>
        <w:tc>
          <w:tcPr>
            <w:tcW w:w="4340" w:type="dxa"/>
            <w:vAlign w:val="bottom"/>
            <w:tcBorders>
              <w:top w:val="single" w:sz="8" w:color="0000FF"/>
            </w:tcBorders>
            <w:gridSpan w:val="6"/>
          </w:tcPr>
          <w:p>
            <w:pPr>
              <w:spacing w:after="0"/>
              <w:rPr>
                <w:sz w:val="13"/>
                <w:szCs w:val="13"/>
                <w:color w:val="auto"/>
              </w:rPr>
            </w:pPr>
          </w:p>
        </w:tc>
        <w:tc>
          <w:tcPr>
            <w:tcW w:w="220" w:type="dxa"/>
            <w:vAlign w:val="bottom"/>
            <w:gridSpan w:val="3"/>
          </w:tcPr>
          <w:p>
            <w:pPr>
              <w:spacing w:after="0"/>
              <w:rPr>
                <w:sz w:val="13"/>
                <w:szCs w:val="13"/>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9620" w:type="dxa"/>
            <w:vAlign w:val="bottom"/>
            <w:gridSpan w:val="12"/>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or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of the Securities Exchange Act of 1934, as</w:t>
            </w:r>
          </w:p>
        </w:tc>
      </w:tr>
      <w:tr>
        <w:trPr>
          <w:trHeight w:val="156"/>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060" w:type="dxa"/>
            <w:vAlign w:val="bottom"/>
            <w:tcBorders>
              <w:top w:val="single" w:sz="8" w:color="0000FF"/>
            </w:tcBorders>
            <w:gridSpan w:val="2"/>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4"/>
          </w:tcPr>
          <w:p>
            <w:pPr>
              <w:spacing w:after="0"/>
              <w:rPr>
                <w:sz w:val="13"/>
                <w:szCs w:val="13"/>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9620" w:type="dxa"/>
            <w:vAlign w:val="bottom"/>
            <w:gridSpan w:val="12"/>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or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of the Securities Exchange Act of 1934, as</w:t>
            </w:r>
          </w:p>
        </w:tc>
      </w:tr>
      <w:tr>
        <w:trPr>
          <w:trHeight w:val="155"/>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as adopted pursuant to Section 302 of the Sarbanes-Oxley Act of 2002.</w:t>
            </w:r>
          </w:p>
        </w:tc>
        <w:tc>
          <w:tcPr>
            <w:tcW w:w="3020" w:type="dxa"/>
            <w:vAlign w:val="bottom"/>
            <w:tcBorders>
              <w:top w:val="single" w:sz="8" w:color="0000FF"/>
            </w:tcBorders>
          </w:tcPr>
          <w:p>
            <w:pPr>
              <w:spacing w:after="0"/>
              <w:rPr>
                <w:sz w:val="13"/>
                <w:szCs w:val="13"/>
                <w:color w:val="auto"/>
              </w:rPr>
            </w:pPr>
          </w:p>
        </w:tc>
        <w:tc>
          <w:tcPr>
            <w:tcW w:w="3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4"/>
          </w:tcPr>
          <w:p>
            <w:pPr>
              <w:spacing w:after="0"/>
              <w:rPr>
                <w:sz w:val="13"/>
                <w:szCs w:val="13"/>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56"/>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40" w:type="dxa"/>
            <w:vAlign w:val="bottom"/>
            <w:gridSpan w:val="4"/>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60" w:type="dxa"/>
            <w:vAlign w:val="bottom"/>
            <w:gridSpan w:val="6"/>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r>
      <w:tr>
        <w:trPr>
          <w:trHeight w:val="38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w:t>
            </w:r>
          </w:p>
        </w:tc>
      </w:tr>
      <w:tr>
        <w:trPr>
          <w:trHeight w:val="156"/>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80" w:type="dxa"/>
            <w:vAlign w:val="bottom"/>
            <w:gridSpan w:val="5"/>
          </w:tcPr>
          <w:p>
            <w:pPr>
              <w:spacing w:after="0"/>
              <w:rPr>
                <w:sz w:val="13"/>
                <w:szCs w:val="13"/>
                <w:color w:val="auto"/>
              </w:rPr>
            </w:pPr>
          </w:p>
        </w:tc>
      </w:tr>
      <w:tr>
        <w:trPr>
          <w:trHeight w:val="20"/>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40" w:type="dxa"/>
            <w:vAlign w:val="bottom"/>
            <w:gridSpan w:val="11"/>
          </w:tcPr>
          <w:p>
            <w:pPr>
              <w:spacing w:after="0" w:line="20" w:lineRule="exact"/>
              <w:rPr>
                <w:sz w:val="1"/>
                <w:szCs w:val="1"/>
                <w:color w:val="auto"/>
              </w:rPr>
            </w:pPr>
          </w:p>
        </w:tc>
      </w:tr>
      <w:tr>
        <w:trPr>
          <w:trHeight w:val="425"/>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2"/>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91"/>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r>
      <w:tr>
        <w:trPr>
          <w:trHeight w:val="522"/>
        </w:trPr>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96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904"/>
        </w:trPr>
        <w:tc>
          <w:tcPr>
            <w:tcW w:w="1600" w:type="dxa"/>
            <w:vAlign w:val="bottom"/>
          </w:tcPr>
          <w:p>
            <w:pPr>
              <w:spacing w:after="0"/>
              <w:rPr>
                <w:sz w:val="24"/>
                <w:szCs w:val="24"/>
                <w:color w:val="auto"/>
              </w:rPr>
            </w:pPr>
          </w:p>
        </w:tc>
        <w:tc>
          <w:tcPr>
            <w:tcW w:w="4820" w:type="dxa"/>
            <w:vAlign w:val="bottom"/>
            <w:gridSpan w:val="3"/>
          </w:tcPr>
          <w:p>
            <w:pPr>
              <w:jc w:val="right"/>
              <w:ind w:right="628"/>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TRADEWEB MARKETS INC.</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October 29, 2026</w:t>
      </w:r>
      <w:r>
        <w:rPr>
          <w:sz w:val="20"/>
          <w:szCs w:val="20"/>
          <w:color w:val="auto"/>
        </w:rPr>
        <w:tab/>
      </w:r>
      <w:r>
        <w:rPr>
          <w:rFonts w:ascii="Times New Roman" w:cs="Times New Roman" w:eastAsia="Times New Roman" w:hAnsi="Times New Roman"/>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36347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William Hult</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5480" w:val="left"/>
        </w:tabs>
        <w:rPr>
          <w:sz w:val="20"/>
          <w:szCs w:val="20"/>
          <w:color w:val="auto"/>
        </w:rPr>
      </w:pPr>
      <w:r>
        <w:rPr>
          <w:rFonts w:ascii="Times New Roman" w:cs="Times New Roman" w:eastAsia="Times New Roman" w:hAnsi="Times New Roman"/>
          <w:sz w:val="18"/>
          <w:szCs w:val="18"/>
          <w:color w:val="auto"/>
        </w:rPr>
        <w:t>October 29, 2026</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43180</wp:posOffset>
            </wp:positionV>
            <wp:extent cx="36347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7" w:lineRule="exact"/>
        <w:rPr>
          <w:sz w:val="20"/>
          <w:szCs w:val="20"/>
          <w:color w:val="auto"/>
        </w:rPr>
      </w:pPr>
    </w:p>
    <w:p>
      <w:pPr>
        <w:ind w:left="5500"/>
        <w:spacing w:after="0"/>
        <w:tabs>
          <w:tab w:leader="none" w:pos="5960" w:val="left"/>
        </w:tabs>
        <w:rPr>
          <w:sz w:val="20"/>
          <w:szCs w:val="20"/>
          <w:color w:val="auto"/>
        </w:rPr>
      </w:pPr>
      <w:r>
        <w:rPr>
          <w:rFonts w:ascii="Times New Roman" w:cs="Times New Roman" w:eastAsia="Times New Roman" w:hAnsi="Times New Roman"/>
          <w:sz w:val="18"/>
          <w:szCs w:val="18"/>
          <w:color w:val="auto"/>
        </w:rPr>
        <w:t>By:</w:t>
        <w:tab/>
        <w:t>Sara Furber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00"/>
          </w:cols>
          <w:pgMar w:left="320" w:top="121" w:right="37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Hult, certify that:</w:t>
      </w:r>
    </w:p>
    <w:p>
      <w:pPr>
        <w:spacing w:after="0" w:line="225"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September 30, 2026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October 29, 2026</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Hult</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Hult</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03"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 Furber, certify that:</w:t>
      </w:r>
    </w:p>
    <w:p>
      <w:pPr>
        <w:spacing w:after="0" w:line="225"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September 30, 2026 of Tradeweb Markets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October 29, 2026</w:t>
      </w:r>
      <w:r>
        <w:rPr>
          <w:sz w:val="20"/>
          <w:szCs w:val="20"/>
          <w:color w:val="auto"/>
        </w:rPr>
        <w:tab/>
      </w:r>
      <w:r>
        <w:rPr>
          <w:rFonts w:ascii="Times New Roman" w:cs="Times New Roman" w:eastAsia="Times New Roman" w:hAnsi="Times New Roman"/>
          <w:sz w:val="17"/>
          <w:szCs w:val="17"/>
          <w:color w:val="auto"/>
        </w:rPr>
        <w:t>/s/ Sara Furber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Sara Furber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September 30, 2026, as filed with the Securities and Exchange Commission on the date hereof (the “Report”), William Hult, Chief Executive Officer of the Company, hereby certifies, pursuant to 18 U.S.C. Section 1350, as adopted pursuant to Section 906 of the Sarbanes-Oxley Act of 2002, that, to his knowledge:</w:t>
      </w:r>
    </w:p>
    <w:p>
      <w:pPr>
        <w:spacing w:after="0" w:line="176" w:lineRule="exact"/>
        <w:rPr>
          <w:sz w:val="20"/>
          <w:szCs w:val="20"/>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October 29, 2026</w:t>
      </w:r>
      <w:r>
        <w:rPr>
          <w:sz w:val="20"/>
          <w:szCs w:val="20"/>
          <w:color w:val="auto"/>
        </w:rPr>
        <w:tab/>
      </w:r>
      <w:r>
        <w:rPr>
          <w:rFonts w:ascii="Times New Roman" w:cs="Times New Roman" w:eastAsia="Times New Roman" w:hAnsi="Times New Roman"/>
          <w:sz w:val="17"/>
          <w:szCs w:val="17"/>
          <w:color w:val="auto"/>
        </w:rPr>
        <w:t>/s/ William Hult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William Hult</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03"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Tradeweb Markets Inc. (the “Company”) for the fiscal quarter ended September 30, 2026, as filed with the Securities and Exchange Commission on the date hereof (the “Report”), Sara Furber, Chief Financial Officer of the Company, hereby certifies, pursuant to 18 U.S.C. Section 1350, as adopted pursuant to Section 906 of the Sarbanes-Oxley Act of 2002, that, to her knowledge:</w:t>
      </w:r>
    </w:p>
    <w:p>
      <w:pPr>
        <w:spacing w:after="0" w:line="176" w:lineRule="exact"/>
        <w:rPr>
          <w:sz w:val="20"/>
          <w:szCs w:val="20"/>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October 29, 2026</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 Furber</w:t>
            </w:r>
          </w:p>
        </w:tc>
      </w:tr>
      <w:tr>
        <w:trPr>
          <w:trHeight w:val="218"/>
        </w:trPr>
        <w:tc>
          <w:tcPr>
            <w:tcW w:w="558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 Furber</w:t>
            </w:r>
          </w:p>
        </w:tc>
      </w:tr>
      <w:tr>
        <w:trPr>
          <w:trHeight w:val="234"/>
        </w:trPr>
        <w:tc>
          <w:tcPr>
            <w:tcW w:w="558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endash "/>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lowerRoman"/>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14" Type="http://schemas.openxmlformats.org/officeDocument/2006/relationships/hyperlink" Target="https://www.sec.gov/Archives/edgar/data/1758730/000175873026000116/tw-2026x8kxex32coi.htm" TargetMode="External"/><Relationship Id="rId115" Type="http://schemas.openxmlformats.org/officeDocument/2006/relationships/hyperlink" Target="https://www.sec.gov/Archives/edgar/data/1758730/000175873026000096/twm-2026x03x31xex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2026-10-29T06:10:24Z</dcterms:created>
  <dcterms:modified xsi:type="dcterms:W3CDTF">2026-10-29T06:10:24Z</dcterms:modified>
</cp:coreProperties>
</file>