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791579091.xml.htm"/>
      <w:bookmarkStart w:id="1" w:name="kswkform3_1791579091"/>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2"/>
        <w:gridCol w:w="2551"/>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Rajagopalan Balasubramanian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245 PARK AVENUE</w:t>
                  </w:r>
                </w:p>
              </w:tc>
            </w:tr>
            <w:tr>
              <w:trPr/>
              <w:tc>
                <w:tcPr>
                  <w:tcW w:w="294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10167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10/01/2026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Tradeweb Markets Inc.</w:t>
              </w:r>
            </w:hyperlink>
            <w:r>
              <w:rPr/>
              <w:t xml:space="preserve"> [ </w:t>
            </w:r>
            <w:r>
              <w:rPr>
                <w:rFonts w:ascii="Times;serif" w:hAnsi="Times;serif"/>
                <w:color w:val="0000FF"/>
                <w:sz w:val="24"/>
                <w:shd w:fill="FFFFFF" w:val="clear"/>
              </w:rPr>
              <w:t>TW</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Risk Officer</w:t>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43"/>
        <w:gridCol w:w="1955"/>
        <w:gridCol w:w="1152"/>
        <w:gridCol w:w="2655"/>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43"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55"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52"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5"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19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8,409</w:t>
            </w:r>
            <w:r>
              <w:rPr>
                <w:rFonts w:ascii="Times;serif" w:hAnsi="Times;serif"/>
                <w:color w:val="008000"/>
                <w:position w:val="7"/>
                <w:sz w:val="16"/>
                <w:sz w:val="20"/>
                <w:shd w:fill="FFFFFF" w:val="clear"/>
              </w:rPr>
              <w:t>(1)</w:t>
            </w:r>
          </w:p>
        </w:tc>
        <w:tc>
          <w:tcPr>
            <w:tcW w:w="11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amount also includes the following securities granted pursuant to the Issuer's 2019 Omnibus Equity Incentive Plan: (i) 501 unvested restricted stock units ("RSUs") in respect of the issuer's Class A common stock ("Class A Common Stock") which are scheduled to vest on March 15, 2027, (ii) 883 unvested RSUs in respect of Class A Common Stock which are scheduled to vest in approximately equal installments, on each of March 17, 2027 and March 17, 2028, (iii) 2,652 unvested RSUs in respect of Class A Common Stock which are scheduled to vest in equal installments, on each of March 15, 2027, March 15, 2028 and March 15, 2029, in each case subject to the reporting person's continued employment through the applicable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/s/Douglas Friedman, Attorney-in-Fact for Balasubramanian Rajagopalan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center"/>
        <w:rPr/>
      </w:pPr>
      <w:bookmarkStart w:id="2" w:name="poarajagopalan.htm"/>
      <w:bookmarkStart w:id="3" w:name="kspoarajagopalan"/>
      <w:bookmarkEnd w:id="2"/>
      <w:bookmarkEnd w:id="3"/>
      <w:r>
        <w:rPr/>
        <w:drawing>
          <wp:inline distT="0" distB="0" distL="0" distR="0">
            <wp:extent cx="10048875" cy="130016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57192" TargetMode="External"/><Relationship Id="rId3" Type="http://schemas.openxmlformats.org/officeDocument/2006/relationships/hyperlink" Target="http://www.sec.gov/cgi-bin/browse-edgar?action=getcompany&amp;CIK=0001758730"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517</Words>
  <Characters>2832</Characters>
  <CharactersWithSpaces>3305</CharactersWithSpaces>
  <Paragraphs>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poarajagopalan</dc:title>
</cp:coreProperties>
</file>